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left"/>
        <w:outlineLvl w:val="0"/>
        <w:rPr>
          <w:rFonts w:hint="eastAsia" w:ascii="仿宋_GB2312" w:hAnsi="Calibri" w:eastAsia="仿宋_GB2312" w:cs="黑体"/>
          <w:kern w:val="2"/>
          <w:sz w:val="32"/>
          <w:szCs w:val="32"/>
          <w:lang w:val="en-US" w:eastAsia="zh-CN" w:bidi="ar-SA"/>
        </w:rPr>
      </w:pPr>
      <w:r>
        <w:rPr>
          <w:rFonts w:hint="eastAsia" w:ascii="仿宋_GB2312" w:hAnsi="Calibri" w:eastAsia="仿宋_GB2312" w:cs="黑体"/>
          <w:kern w:val="2"/>
          <w:sz w:val="32"/>
          <w:szCs w:val="32"/>
          <w:lang w:val="en-US" w:eastAsia="zh-CN" w:bidi="ar-SA"/>
        </w:rPr>
        <w:t>附件4</w:t>
      </w:r>
    </w:p>
    <w:p>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不合格项目说明</w:t>
      </w:r>
    </w:p>
    <w:p>
      <w:pPr>
        <w:pStyle w:val="2"/>
        <w:rPr>
          <w:rFonts w:hint="eastAsia"/>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Times New Roman"/>
          <w:bCs/>
          <w:color w:val="000000" w:themeColor="text1"/>
          <w:sz w:val="32"/>
          <w:szCs w:val="32"/>
          <w14:textFill>
            <w14:solidFill>
              <w14:schemeClr w14:val="tx1"/>
            </w14:solidFill>
          </w14:textFill>
        </w:rPr>
      </w:pPr>
      <w:r>
        <w:rPr>
          <w:rFonts w:hint="eastAsia" w:ascii="Times New Roman" w:hAnsi="Times New Roman" w:eastAsia="仿宋_GB2312" w:cs="Times New Roman"/>
          <w:bCs/>
          <w:color w:val="000000" w:themeColor="text1"/>
          <w:sz w:val="32"/>
          <w:szCs w:val="32"/>
          <w14:textFill>
            <w14:solidFill>
              <w14:schemeClr w14:val="tx1"/>
            </w14:solidFill>
          </w14:textFill>
        </w:rPr>
        <w:t xml:space="preserve">   </w:t>
      </w:r>
      <w:r>
        <w:rPr>
          <w:rFonts w:hint="eastAsia" w:ascii="黑体" w:hAnsi="黑体" w:eastAsia="黑体" w:cs="Times New Roman"/>
          <w:bCs/>
          <w:color w:val="000000" w:themeColor="text1"/>
          <w:sz w:val="32"/>
          <w:szCs w:val="32"/>
          <w14:textFill>
            <w14:solidFill>
              <w14:schemeClr w14:val="tx1"/>
            </w14:solidFill>
          </w14:textFill>
        </w:rPr>
        <w:t xml:space="preserve"> 一</w:t>
      </w:r>
      <w:bookmarkStart w:id="0" w:name="_GoBack"/>
      <w:r>
        <w:rPr>
          <w:rFonts w:hint="eastAsia" w:ascii="黑体" w:hAnsi="黑体" w:eastAsia="黑体" w:cs="Times New Roman"/>
          <w:bCs/>
          <w:color w:val="000000" w:themeColor="text1"/>
          <w:sz w:val="32"/>
          <w:szCs w:val="32"/>
          <w14:textFill>
            <w14:solidFill>
              <w14:schemeClr w14:val="tx1"/>
            </w14:solidFill>
          </w14:textFill>
        </w:rPr>
        <w:t>、镉(以C</w:t>
      </w:r>
      <w:bookmarkEnd w:id="0"/>
      <w:r>
        <w:rPr>
          <w:rFonts w:hint="eastAsia" w:ascii="黑体" w:hAnsi="黑体" w:eastAsia="黑体" w:cs="Times New Roman"/>
          <w:bCs/>
          <w:color w:val="000000" w:themeColor="text1"/>
          <w:sz w:val="32"/>
          <w:szCs w:val="32"/>
          <w14:textFill>
            <w14:solidFill>
              <w14:schemeClr w14:val="tx1"/>
            </w14:solidFill>
          </w14:textFill>
        </w:rPr>
        <w:t>d计)</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镉是一种蓄积性的重金属元素，可通过食物链进入人体。长期食用镉超标的食品，可能会对人体肾脏和肝脏造成损害，还会影响免疫系统，甚至可能对儿童高级神经活动有损害。《食品安全国家标准 食品中污染物限量》（GB 2762-2022）中规定，镉(以Cd计)在辣椒中最大残留限量为0.05mg/kg。长期食用镉(以Cd计)不合格的食品，可能对人体健康有一定影响。</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Cs/>
          <w:color w:val="000000" w:themeColor="text1"/>
          <w:sz w:val="32"/>
          <w:szCs w:val="32"/>
          <w14:textFill>
            <w14:solidFill>
              <w14:schemeClr w14:val="tx1"/>
            </w14:solidFill>
          </w14:textFill>
        </w:rPr>
      </w:pPr>
      <w:r>
        <w:rPr>
          <w:rFonts w:hint="eastAsia" w:ascii="Times New Roman" w:hAnsi="Times New Roman" w:eastAsia="仿宋_GB2312" w:cs="Times New Roman"/>
          <w:bCs/>
          <w:color w:val="000000" w:themeColor="text1"/>
          <w:sz w:val="32"/>
          <w:szCs w:val="32"/>
          <w14:textFill>
            <w14:solidFill>
              <w14:schemeClr w14:val="tx1"/>
            </w14:solidFill>
          </w14:textFill>
        </w:rPr>
        <w:t xml:space="preserve">   </w:t>
      </w:r>
      <w:r>
        <w:rPr>
          <w:rFonts w:hint="eastAsia" w:ascii="黑体" w:hAnsi="黑体" w:eastAsia="黑体" w:cs="Times New Roman"/>
          <w:bCs/>
          <w:color w:val="000000" w:themeColor="text1"/>
          <w:sz w:val="32"/>
          <w:szCs w:val="32"/>
          <w14:textFill>
            <w14:solidFill>
              <w14:schemeClr w14:val="tx1"/>
            </w14:solidFill>
          </w14:textFill>
        </w:rPr>
        <w:t xml:space="preserve"> 二、吡唑醚菌酯</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sz w:val="32"/>
          <w:szCs w:val="32"/>
        </w:rPr>
        <w:t xml:space="preserve"> 吡唑醚菌酯是甲氧基丙烯酸酯类杀菌剂，主要用于防冶作物上由真菌引起的多种病害，除对病原菌有直接作用外，还能诱变许多作物尤其是谷物的生理现象，如提高对氮的吸收，从而促进作物快速生长，提高作物产量，从而达到作物高产的目的。吡唑醚菌酯具有适用范围广、用量少、复配效果好、安全毒性低等优点。《食品安全国家标准 食品中农药最大残留限量》（GB 2763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2026）中规定，吡唑醚菌酯在食荚豌豆中</w:t>
      </w:r>
      <w:r>
        <w:rPr>
          <w:rFonts w:hint="eastAsia" w:ascii="仿宋_GB2312" w:hAnsi="仿宋_GB2312" w:eastAsia="仿宋_GB2312" w:cs="仿宋_GB2312"/>
          <w:sz w:val="32"/>
          <w:szCs w:val="32"/>
          <w:lang w:val="en-US" w:eastAsia="zh-CN"/>
        </w:rPr>
        <w:t>最大残留限量为</w:t>
      </w:r>
      <w:r>
        <w:rPr>
          <w:rFonts w:hint="eastAsia" w:ascii="仿宋_GB2312" w:hAnsi="仿宋_GB2312" w:eastAsia="仿宋_GB2312" w:cs="仿宋_GB2312"/>
          <w:sz w:val="32"/>
          <w:szCs w:val="32"/>
        </w:rPr>
        <w:t>0.02mg/kg。导致食荚豌豆中吡唑醚菌酯残留量超标原因，可能是农户为快速控制病害而违规超量使用或者未考虑农药降解周期即采摘上市。</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Cs/>
          <w:color w:val="000000" w:themeColor="text1"/>
          <w:sz w:val="32"/>
          <w:szCs w:val="32"/>
          <w14:textFill>
            <w14:solidFill>
              <w14:schemeClr w14:val="tx1"/>
            </w14:solidFill>
          </w14:textFill>
        </w:rPr>
      </w:pPr>
      <w:r>
        <w:rPr>
          <w:rFonts w:hint="eastAsia" w:ascii="Times New Roman" w:hAnsi="Times New Roman" w:eastAsia="仿宋_GB2312" w:cs="Times New Roman"/>
          <w:bCs/>
          <w:color w:val="000000" w:themeColor="text1"/>
          <w:sz w:val="32"/>
          <w:szCs w:val="32"/>
          <w14:textFill>
            <w14:solidFill>
              <w14:schemeClr w14:val="tx1"/>
            </w14:solidFill>
          </w14:textFill>
        </w:rPr>
        <w:t xml:space="preserve">  </w:t>
      </w:r>
      <w:r>
        <w:rPr>
          <w:rFonts w:hint="eastAsia" w:ascii="黑体" w:hAnsi="黑体" w:eastAsia="黑体" w:cs="Times New Roman"/>
          <w:bCs/>
          <w:color w:val="000000" w:themeColor="text1"/>
          <w:sz w:val="32"/>
          <w:szCs w:val="32"/>
          <w14:textFill>
            <w14:solidFill>
              <w14:schemeClr w14:val="tx1"/>
            </w14:solidFill>
          </w14:textFill>
        </w:rPr>
        <w:t xml:space="preserve">  三、噻虫胺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噻虫胺是一种有机化合物，是新烟碱类中的一种杀虫剂，是一类高效安全、高选择性的新型杀虫剂。《食品安全国家标准 食品中农药最大残留限量》（GB 2763-2026）中规定，噻虫胺在辣椒中最大残留限量为0.05mg/kg；噻虫胺在姜中最大残留限量为0.2mg/kg。食用少量的残留农药，人体自身会降解，不会突然引起急性中毒，但长期食用没有清洗干净带有残留农药的农产品，可能会导致身体免疫力下降，加重肝脏的负担，或者引起恶心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Times New Roman"/>
          <w:bCs/>
          <w:color w:val="000000" w:themeColor="text1"/>
          <w:sz w:val="32"/>
          <w:szCs w:val="32"/>
          <w14:textFill>
            <w14:solidFill>
              <w14:schemeClr w14:val="tx1"/>
            </w14:solidFill>
          </w14:textFill>
        </w:rPr>
      </w:pPr>
      <w:r>
        <w:rPr>
          <w:rFonts w:hint="eastAsia" w:ascii="黑体" w:hAnsi="黑体" w:eastAsia="黑体" w:cs="Times New Roman"/>
          <w:bCs/>
          <w:color w:val="000000" w:themeColor="text1"/>
          <w:sz w:val="32"/>
          <w:szCs w:val="32"/>
          <w:lang w:eastAsia="zh-CN"/>
          <w14:textFill>
            <w14:solidFill>
              <w14:schemeClr w14:val="tx1"/>
            </w14:solidFill>
          </w14:textFill>
        </w:rPr>
        <w:t>四、</w:t>
      </w:r>
      <w:r>
        <w:rPr>
          <w:rFonts w:hint="eastAsia" w:ascii="黑体" w:hAnsi="黑体" w:eastAsia="黑体" w:cs="Times New Roman"/>
          <w:bCs/>
          <w:color w:val="000000" w:themeColor="text1"/>
          <w:sz w:val="32"/>
          <w:szCs w:val="32"/>
          <w14:textFill>
            <w14:solidFill>
              <w14:schemeClr w14:val="tx1"/>
            </w14:solidFill>
          </w14:textFill>
        </w:rPr>
        <w:t>噻虫嗪</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噻虫嗪，烟碱类杀虫剂,具有触杀、胃毒和内吸作用的杀虫剂。能被迅速吸收到植物体内，并在木质部向顶传导。防治蚜虫、粉虱、蓟马、稻飞虱、稻褐蝽、粉蚧、蛴螬、科罗拉多马铃薯甲虫、跳甲、金针虫、步行虫、潜叶虫和一些鳞翅目害虫。也可用于动物和公共卫生，防治蝇类（如家蝇、厕蝇和果蝇）。中毒可出现恶心、呕吐、头痛、乏力、心跳过速等症状。食用食品一般不会导致噻虫嗪的急性中毒，但长期食用噻虫嗪超标的食品，对人体健康也有一定影响。《食品安全国家标准食品中农药最大残留限量》(GB 2763-2026)中规定，番木瓜中噻虫嗪最大残留限量为0.01mg/kg；甘薯中噻虫嗪最大残留限量为0.05mg/kg；豇豆中噻虫嗪最大残留限量为0.5mg/kg。</w:t>
      </w:r>
    </w:p>
    <w:p/>
    <w:p>
      <w:pPr>
        <w:pStyle w:val="2"/>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yNzYwZjk3MDM2ZDZiZDY2NmYxMjg5ZDU5MDk4OTgifQ=="/>
  </w:docVars>
  <w:rsids>
    <w:rsidRoot w:val="00E85F0F"/>
    <w:rsid w:val="0000165D"/>
    <w:rsid w:val="000E09CC"/>
    <w:rsid w:val="00281629"/>
    <w:rsid w:val="00340DEA"/>
    <w:rsid w:val="003E18E1"/>
    <w:rsid w:val="00462282"/>
    <w:rsid w:val="00566B41"/>
    <w:rsid w:val="0058527C"/>
    <w:rsid w:val="00617F51"/>
    <w:rsid w:val="00771386"/>
    <w:rsid w:val="00774214"/>
    <w:rsid w:val="00B86927"/>
    <w:rsid w:val="00BC0B2D"/>
    <w:rsid w:val="00C772D6"/>
    <w:rsid w:val="00E7117E"/>
    <w:rsid w:val="00E85F0F"/>
    <w:rsid w:val="00F46890"/>
    <w:rsid w:val="00F909A0"/>
    <w:rsid w:val="00FE0F57"/>
    <w:rsid w:val="0AA52C68"/>
    <w:rsid w:val="0F4753E8"/>
    <w:rsid w:val="12E04850"/>
    <w:rsid w:val="28FB067C"/>
    <w:rsid w:val="2A9C08A0"/>
    <w:rsid w:val="38A13E1C"/>
    <w:rsid w:val="3A380AF8"/>
    <w:rsid w:val="3D7E6A83"/>
    <w:rsid w:val="3F2511EB"/>
    <w:rsid w:val="442C7B41"/>
    <w:rsid w:val="45E34BFA"/>
    <w:rsid w:val="4F974149"/>
    <w:rsid w:val="54A96376"/>
    <w:rsid w:val="5C500E76"/>
    <w:rsid w:val="629923ED"/>
    <w:rsid w:val="643832AE"/>
    <w:rsid w:val="66AE0D02"/>
    <w:rsid w:val="7BD342C6"/>
    <w:rsid w:val="7E6E1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semiHidden/>
    <w:unhideWhenUsed/>
    <w:qFormat/>
    <w:uiPriority w:val="9"/>
    <w:pPr>
      <w:widowControl/>
      <w:spacing w:beforeAutospacing="1" w:afterAutospacing="1"/>
      <w:jc w:val="left"/>
      <w:outlineLvl w:val="1"/>
    </w:pPr>
    <w:rPr>
      <w:rFonts w:hint="eastAsia" w:ascii="宋体" w:hAnsi="宋体" w:eastAsia="宋体" w:cs="Times New Roman"/>
      <w:b/>
      <w:bCs/>
      <w:kern w:val="0"/>
      <w:sz w:val="36"/>
      <w:szCs w:val="36"/>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left="600"/>
      <w:jc w:val="left"/>
    </w:pPr>
    <w:rPr>
      <w:b/>
      <w:spacing w:val="20"/>
      <w:sz w:val="24"/>
      <w:szCs w:val="20"/>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tabs>
        <w:tab w:val="center" w:pos="4153"/>
        <w:tab w:val="right" w:pos="8306"/>
      </w:tabs>
      <w:snapToGrid w:val="0"/>
      <w:jc w:val="center"/>
    </w:pPr>
    <w:rPr>
      <w:sz w:val="18"/>
      <w:szCs w:val="18"/>
    </w:rPr>
  </w:style>
  <w:style w:type="paragraph" w:styleId="7">
    <w:name w:val="Normal (Web)"/>
    <w:basedOn w:val="1"/>
    <w:semiHidden/>
    <w:unhideWhenUsed/>
    <w:qFormat/>
    <w:uiPriority w:val="99"/>
    <w:rPr>
      <w:sz w:val="24"/>
    </w:rPr>
  </w:style>
  <w:style w:type="character" w:customStyle="1" w:styleId="10">
    <w:name w:val="页眉 字符"/>
    <w:basedOn w:val="9"/>
    <w:link w:val="6"/>
    <w:qFormat/>
    <w:uiPriority w:val="99"/>
    <w:rPr>
      <w:rFonts w:asciiTheme="minorHAnsi" w:hAnsiTheme="minorHAnsi" w:eastAsiaTheme="minorEastAsia" w:cstheme="minorBidi"/>
      <w:kern w:val="2"/>
      <w:sz w:val="18"/>
      <w:szCs w:val="18"/>
    </w:rPr>
  </w:style>
  <w:style w:type="character" w:customStyle="1" w:styleId="11">
    <w:name w:val="页脚 字符"/>
    <w:basedOn w:val="9"/>
    <w:link w:val="5"/>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525</Words>
  <Characters>587</Characters>
  <Lines>4</Lines>
  <Paragraphs>1</Paragraphs>
  <TotalTime>3</TotalTime>
  <ScaleCrop>false</ScaleCrop>
  <LinksUpToDate>false</LinksUpToDate>
  <CharactersWithSpaces>617</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2019-10-14T02:27:00Z</dcterms:created>
  <dc:creator>user</dc:creator>
  <cp:lastModifiedBy>admin</cp:lastModifiedBy>
  <dcterms:modified xsi:type="dcterms:W3CDTF">2026-07-27T02:45:47Z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2C4E9F530E1D4A599378172C3CD2983F_13</vt:lpwstr>
  </property>
  <property fmtid="{D5CDD505-2E9C-101B-9397-08002B2CF9AE}" pid="4" name="customTaskPaneName">
    <vt:lpwstr>西城不合格项目说明模板.docx</vt:lpwstr>
  </property>
  <property fmtid="{D5CDD505-2E9C-101B-9397-08002B2CF9AE}" pid="5" name="textBoxRange">
    <vt:lpwstr>Optional range</vt:lpwstr>
  </property>
  <property fmtid="{D5CDD505-2E9C-101B-9397-08002B2CF9AE}" pid="6" name="KSOTemplateDocerSaveRecord">
    <vt:lpwstr>eyJoZGlkIjoiMTEyNzYwZjk3MDM2ZDZiZDY2NmYxMjg5ZDU5MDk4OTgiLCJ1c2VySWQiOiI0OTI4ODI5NDcifQ==</vt:lpwstr>
  </property>
</Properties>
</file>