
<file path=[Content_Types].xml><?xml version="1.0" encoding="utf-8"?>
<Types xmlns="http://schemas.openxmlformats.org/package/2006/content-types">
  <Default Extension="xlsx" ContentType="application/vnd.openxmlformats-officedocument.spreadsheetml.shee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DEA695">
      <w:pPr>
        <w:jc w:val="center"/>
        <w:rPr>
          <w:rFonts w:ascii="仿宋_GB2312" w:eastAsia="仿宋_GB2312"/>
          <w:b/>
          <w:sz w:val="32"/>
          <w:szCs w:val="32"/>
        </w:rPr>
      </w:pPr>
    </w:p>
    <w:p w14:paraId="1EEE6E94">
      <w:pPr>
        <w:jc w:val="center"/>
        <w:rPr>
          <w:rFonts w:ascii="黑体" w:eastAsia="黑体"/>
          <w:sz w:val="72"/>
          <w:szCs w:val="72"/>
        </w:rPr>
      </w:pPr>
    </w:p>
    <w:p w14:paraId="5632CBA6">
      <w:pPr>
        <w:jc w:val="center"/>
        <w:rPr>
          <w:rFonts w:ascii="黑体" w:eastAsia="黑体"/>
          <w:sz w:val="72"/>
          <w:szCs w:val="72"/>
        </w:rPr>
      </w:pPr>
    </w:p>
    <w:p w14:paraId="5C2931C1">
      <w:pPr>
        <w:jc w:val="center"/>
        <w:rPr>
          <w:rFonts w:ascii="黑体" w:eastAsia="黑体"/>
          <w:sz w:val="72"/>
          <w:szCs w:val="72"/>
        </w:rPr>
      </w:pPr>
    </w:p>
    <w:p w14:paraId="05275186">
      <w:pPr>
        <w:jc w:val="center"/>
        <w:rPr>
          <w:rFonts w:ascii="黑体" w:eastAsia="黑体"/>
          <w:sz w:val="72"/>
          <w:szCs w:val="72"/>
        </w:rPr>
      </w:pPr>
    </w:p>
    <w:p w14:paraId="4599DB7A">
      <w:pPr>
        <w:jc w:val="center"/>
        <w:rPr>
          <w:rFonts w:ascii="黑体" w:eastAsia="黑体"/>
          <w:sz w:val="72"/>
          <w:szCs w:val="72"/>
        </w:rPr>
      </w:pPr>
      <w:r>
        <w:rPr>
          <w:rFonts w:hint="eastAsia" w:ascii="黑体" w:eastAsia="黑体"/>
          <w:sz w:val="72"/>
          <w:szCs w:val="72"/>
          <w:lang w:eastAsia="zh-CN"/>
        </w:rPr>
        <w:t>2025</w:t>
      </w:r>
      <w:r>
        <w:rPr>
          <w:rFonts w:hint="eastAsia" w:ascii="黑体" w:eastAsia="黑体"/>
          <w:sz w:val="72"/>
          <w:szCs w:val="72"/>
        </w:rPr>
        <w:t>年度部门决算（</w:t>
      </w:r>
      <w:r>
        <w:rPr>
          <w:rFonts w:hint="eastAsia" w:ascii="黑体" w:eastAsia="黑体"/>
          <w:sz w:val="72"/>
          <w:szCs w:val="72"/>
          <w:lang w:val="en-US" w:eastAsia="zh-CN"/>
        </w:rPr>
        <w:t>公开</w:t>
      </w:r>
      <w:r>
        <w:rPr>
          <w:rFonts w:ascii="黑体" w:eastAsia="黑体"/>
          <w:sz w:val="72"/>
          <w:szCs w:val="72"/>
        </w:rPr>
        <w:t>）</w:t>
      </w:r>
    </w:p>
    <w:p w14:paraId="7DCD5585">
      <w:pPr>
        <w:jc w:val="center"/>
        <w:rPr>
          <w:rFonts w:ascii="黑体" w:eastAsia="黑体"/>
          <w:sz w:val="52"/>
          <w:szCs w:val="52"/>
        </w:rPr>
      </w:pPr>
    </w:p>
    <w:p w14:paraId="401C7A88">
      <w:pPr>
        <w:jc w:val="center"/>
        <w:rPr>
          <w:rFonts w:ascii="黑体" w:eastAsia="黑体"/>
          <w:sz w:val="52"/>
          <w:szCs w:val="52"/>
        </w:rPr>
      </w:pPr>
    </w:p>
    <w:p w14:paraId="6AD66978">
      <w:pPr>
        <w:jc w:val="center"/>
        <w:rPr>
          <w:rFonts w:ascii="黑体" w:eastAsia="黑体"/>
          <w:sz w:val="52"/>
          <w:szCs w:val="52"/>
        </w:rPr>
      </w:pPr>
    </w:p>
    <w:p w14:paraId="00526726">
      <w:pPr>
        <w:jc w:val="center"/>
        <w:rPr>
          <w:rFonts w:ascii="黑体" w:eastAsia="黑体"/>
          <w:sz w:val="52"/>
          <w:szCs w:val="52"/>
        </w:rPr>
      </w:pPr>
    </w:p>
    <w:p w14:paraId="0BE8DC3A">
      <w:pPr>
        <w:jc w:val="center"/>
        <w:rPr>
          <w:rFonts w:ascii="黑体" w:eastAsia="黑体"/>
          <w:sz w:val="32"/>
          <w:szCs w:val="32"/>
        </w:rPr>
      </w:pPr>
    </w:p>
    <w:p w14:paraId="35362C5B">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14:paraId="7D2DA818">
      <w:pPr>
        <w:spacing w:line="500" w:lineRule="exact"/>
        <w:ind w:firstLine="645"/>
        <w:jc w:val="center"/>
        <w:rPr>
          <w:rFonts w:hint="eastAsia" w:ascii="宋体" w:hAnsi="宋体" w:cs="宋体"/>
          <w:b/>
          <w:bCs/>
          <w:kern w:val="0"/>
          <w:sz w:val="36"/>
          <w:szCs w:val="36"/>
        </w:rPr>
      </w:pPr>
    </w:p>
    <w:p w14:paraId="3BB7BF88">
      <w:pPr>
        <w:tabs>
          <w:tab w:val="center" w:pos="6979"/>
        </w:tabs>
        <w:spacing w:line="500" w:lineRule="exact"/>
        <w:ind w:firstLine="1600" w:firstLineChars="400"/>
        <w:jc w:val="left"/>
        <w:rPr>
          <w:rFonts w:hint="eastAsia" w:ascii="宋体" w:hAnsi="宋体" w:cs="宋体"/>
          <w:bCs/>
          <w:spacing w:val="40"/>
          <w:kern w:val="0"/>
          <w:sz w:val="32"/>
          <w:szCs w:val="32"/>
        </w:rPr>
      </w:pPr>
      <w:r>
        <w:rPr>
          <w:rFonts w:hint="eastAsia" w:ascii="宋体" w:hAnsi="宋体" w:cs="宋体"/>
          <w:bCs/>
          <w:spacing w:val="40"/>
          <w:kern w:val="0"/>
          <w:sz w:val="32"/>
          <w:szCs w:val="32"/>
        </w:rPr>
        <w:t>第一部分 202</w:t>
      </w:r>
      <w:r>
        <w:rPr>
          <w:rFonts w:hint="eastAsia" w:ascii="宋体" w:hAnsi="宋体" w:cs="宋体"/>
          <w:bCs/>
          <w:spacing w:val="40"/>
          <w:kern w:val="0"/>
          <w:sz w:val="32"/>
          <w:szCs w:val="32"/>
          <w:lang w:val="en-US" w:eastAsia="zh-CN"/>
        </w:rPr>
        <w:t>5</w:t>
      </w:r>
      <w:r>
        <w:rPr>
          <w:rFonts w:hint="eastAsia" w:ascii="宋体" w:hAnsi="宋体" w:cs="宋体"/>
          <w:bCs/>
          <w:spacing w:val="40"/>
          <w:kern w:val="0"/>
          <w:sz w:val="32"/>
          <w:szCs w:val="32"/>
        </w:rPr>
        <w:t>年度部门决算报表</w:t>
      </w:r>
    </w:p>
    <w:p w14:paraId="7D3DBD31">
      <w:pPr>
        <w:tabs>
          <w:tab w:val="center" w:pos="6979"/>
        </w:tabs>
        <w:spacing w:line="500" w:lineRule="exact"/>
        <w:ind w:firstLine="2400" w:firstLineChars="600"/>
        <w:jc w:val="left"/>
        <w:rPr>
          <w:rFonts w:hint="eastAsia"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14:paraId="4ACE8D59">
      <w:pPr>
        <w:tabs>
          <w:tab w:val="center" w:pos="6979"/>
        </w:tabs>
        <w:spacing w:line="500" w:lineRule="exact"/>
        <w:ind w:firstLine="2400" w:firstLineChars="600"/>
        <w:jc w:val="left"/>
        <w:rPr>
          <w:rFonts w:hint="eastAsia"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14:paraId="0CAD161E">
      <w:pPr>
        <w:tabs>
          <w:tab w:val="center" w:pos="6979"/>
        </w:tabs>
        <w:spacing w:line="500" w:lineRule="exact"/>
        <w:ind w:firstLine="2400" w:firstLineChars="600"/>
        <w:jc w:val="left"/>
        <w:rPr>
          <w:rFonts w:hint="eastAsia"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14:paraId="603262C2">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14:paraId="71FF5880">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14:paraId="029CFBE5">
      <w:pPr>
        <w:tabs>
          <w:tab w:val="center" w:pos="6979"/>
        </w:tabs>
        <w:spacing w:line="500" w:lineRule="exact"/>
        <w:ind w:firstLine="2400" w:firstLineChars="600"/>
        <w:jc w:val="left"/>
        <w:rPr>
          <w:rFonts w:hint="eastAsia"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14:paraId="6B4EED11">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lang w:eastAsia="zh-CN"/>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14:paraId="7667039C">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lang w:eastAsia="zh-CN"/>
        </w:rPr>
        <w:t>八</w:t>
      </w:r>
      <w:r>
        <w:rPr>
          <w:rFonts w:hint="eastAsia" w:ascii="仿宋_GB2312" w:hAnsi="仿宋" w:eastAsia="仿宋_GB2312" w:cs="宋体"/>
          <w:bCs/>
          <w:spacing w:val="40"/>
          <w:kern w:val="0"/>
          <w:sz w:val="32"/>
          <w:szCs w:val="32"/>
        </w:rPr>
        <w:t>、</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14:paraId="1C730151">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lang w:eastAsia="zh-CN"/>
        </w:rPr>
        <w:t>九</w:t>
      </w:r>
      <w:r>
        <w:rPr>
          <w:rFonts w:hint="eastAsia" w:ascii="仿宋_GB2312" w:hAnsi="仿宋" w:eastAsia="仿宋_GB2312" w:cs="宋体"/>
          <w:bCs/>
          <w:spacing w:val="40"/>
          <w:kern w:val="0"/>
          <w:sz w:val="32"/>
          <w:szCs w:val="32"/>
        </w:rPr>
        <w:t>、国有资本经营预算财政拨款支出决算表</w:t>
      </w:r>
    </w:p>
    <w:p w14:paraId="185B3277">
      <w:pPr>
        <w:tabs>
          <w:tab w:val="center" w:pos="6979"/>
        </w:tabs>
        <w:spacing w:line="500" w:lineRule="exact"/>
        <w:ind w:firstLine="2400" w:firstLineChars="600"/>
        <w:jc w:val="left"/>
        <w:rPr>
          <w:rFonts w:hint="eastAsia"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14:paraId="2216AA5B">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14:paraId="4CD2D2DD">
      <w:pPr>
        <w:tabs>
          <w:tab w:val="center" w:pos="6979"/>
        </w:tabs>
        <w:spacing w:line="500" w:lineRule="exact"/>
        <w:ind w:firstLine="1600" w:firstLineChars="400"/>
        <w:jc w:val="left"/>
        <w:rPr>
          <w:rFonts w:hint="eastAsia"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w:t>
      </w:r>
      <w:r>
        <w:rPr>
          <w:rFonts w:hint="eastAsia" w:ascii="宋体" w:hAnsi="宋体"/>
          <w:spacing w:val="40"/>
          <w:sz w:val="32"/>
          <w:szCs w:val="32"/>
          <w:lang w:val="en-US" w:eastAsia="zh-CN"/>
        </w:rPr>
        <w:t>5</w:t>
      </w:r>
      <w:r>
        <w:rPr>
          <w:rFonts w:hint="eastAsia" w:ascii="宋体" w:hAnsi="宋体"/>
          <w:spacing w:val="40"/>
          <w:sz w:val="32"/>
          <w:szCs w:val="32"/>
        </w:rPr>
        <w:t>年度部门决算说明</w:t>
      </w:r>
    </w:p>
    <w:p w14:paraId="33A9099C">
      <w:pPr>
        <w:tabs>
          <w:tab w:val="center" w:pos="6979"/>
        </w:tabs>
        <w:spacing w:line="500" w:lineRule="exact"/>
        <w:ind w:firstLine="1600" w:firstLineChars="400"/>
        <w:jc w:val="left"/>
        <w:rPr>
          <w:rFonts w:hint="eastAsia"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w:t>
      </w:r>
      <w:r>
        <w:rPr>
          <w:rFonts w:hint="eastAsia" w:ascii="宋体" w:hAnsi="宋体"/>
          <w:spacing w:val="40"/>
          <w:sz w:val="32"/>
          <w:szCs w:val="32"/>
          <w:lang w:val="en-US" w:eastAsia="zh-CN"/>
        </w:rPr>
        <w:t>5</w:t>
      </w:r>
      <w:r>
        <w:rPr>
          <w:rFonts w:hint="eastAsia" w:ascii="宋体" w:hAnsi="宋体"/>
          <w:spacing w:val="40"/>
          <w:sz w:val="32"/>
          <w:szCs w:val="32"/>
        </w:rPr>
        <w:t>年度</w:t>
      </w:r>
      <w:r>
        <w:rPr>
          <w:rFonts w:hint="eastAsia" w:ascii="宋体" w:hAnsi="宋体" w:cs="宋体"/>
          <w:spacing w:val="40"/>
          <w:kern w:val="0"/>
          <w:sz w:val="32"/>
          <w:szCs w:val="32"/>
        </w:rPr>
        <w:t>其他重要事项的情况说明</w:t>
      </w:r>
    </w:p>
    <w:p w14:paraId="07324442">
      <w:pPr>
        <w:tabs>
          <w:tab w:val="center" w:pos="6979"/>
        </w:tabs>
        <w:spacing w:line="500" w:lineRule="exact"/>
        <w:ind w:firstLine="1600" w:firstLineChars="400"/>
        <w:jc w:val="left"/>
        <w:rPr>
          <w:rFonts w:hint="eastAsia" w:ascii="宋体" w:hAnsi="宋体" w:cs="宋体"/>
          <w:spacing w:val="40"/>
          <w:kern w:val="0"/>
          <w:sz w:val="36"/>
          <w:szCs w:val="32"/>
        </w:rPr>
      </w:pPr>
      <w:r>
        <w:rPr>
          <w:rFonts w:hint="eastAsia" w:ascii="宋体" w:hAnsi="宋体" w:cs="宋体"/>
          <w:spacing w:val="40"/>
          <w:kern w:val="0"/>
          <w:sz w:val="32"/>
          <w:szCs w:val="32"/>
        </w:rPr>
        <w:t>第四部分 202</w:t>
      </w:r>
      <w:r>
        <w:rPr>
          <w:rFonts w:hint="eastAsia" w:ascii="宋体" w:hAnsi="宋体" w:cs="宋体"/>
          <w:spacing w:val="40"/>
          <w:kern w:val="0"/>
          <w:sz w:val="32"/>
          <w:szCs w:val="32"/>
          <w:lang w:val="en-US" w:eastAsia="zh-CN"/>
        </w:rPr>
        <w:t>5</w:t>
      </w:r>
      <w:r>
        <w:rPr>
          <w:rFonts w:hint="eastAsia" w:ascii="宋体" w:hAnsi="宋体" w:cs="宋体"/>
          <w:spacing w:val="40"/>
          <w:kern w:val="0"/>
          <w:sz w:val="32"/>
          <w:szCs w:val="32"/>
        </w:rPr>
        <w:t>年度部门绩效评价情况</w:t>
      </w:r>
    </w:p>
    <w:p w14:paraId="06F488DE">
      <w:pPr>
        <w:tabs>
          <w:tab w:val="center" w:pos="6979"/>
        </w:tabs>
        <w:spacing w:before="156" w:beforeLines="50" w:after="156" w:afterLines="50"/>
        <w:jc w:val="center"/>
        <w:rPr>
          <w:rFonts w:ascii="宋体" w:hAnsi="宋体" w:cs="宋体"/>
          <w:b/>
          <w:bCs/>
          <w:spacing w:val="40"/>
          <w:kern w:val="0"/>
          <w:sz w:val="32"/>
          <w:szCs w:val="32"/>
        </w:rPr>
      </w:pPr>
    </w:p>
    <w:p w14:paraId="1581D426">
      <w:pPr>
        <w:tabs>
          <w:tab w:val="center" w:pos="6979"/>
        </w:tabs>
        <w:spacing w:before="156" w:beforeLines="50" w:after="156" w:afterLines="50"/>
        <w:jc w:val="center"/>
        <w:rPr>
          <w:rFonts w:ascii="宋体" w:hAnsi="宋体" w:cs="宋体"/>
          <w:b/>
          <w:bCs/>
          <w:spacing w:val="40"/>
          <w:kern w:val="0"/>
          <w:sz w:val="32"/>
          <w:szCs w:val="32"/>
        </w:rPr>
      </w:pPr>
    </w:p>
    <w:p w14:paraId="5D5BBEE8">
      <w:pPr>
        <w:tabs>
          <w:tab w:val="center" w:pos="6979"/>
        </w:tabs>
        <w:spacing w:before="156" w:beforeLines="50" w:after="156" w:afterLines="50"/>
        <w:jc w:val="center"/>
        <w:rPr>
          <w:rFonts w:ascii="宋体" w:hAnsi="宋体" w:cs="宋体"/>
          <w:b/>
          <w:bCs/>
          <w:spacing w:val="40"/>
          <w:kern w:val="0"/>
          <w:sz w:val="32"/>
          <w:szCs w:val="32"/>
        </w:rPr>
      </w:pPr>
    </w:p>
    <w:p w14:paraId="3BF18747">
      <w:pPr>
        <w:tabs>
          <w:tab w:val="center" w:pos="6979"/>
        </w:tabs>
        <w:spacing w:before="156" w:beforeLines="50" w:after="156" w:afterLines="50"/>
        <w:jc w:val="center"/>
        <w:rPr>
          <w:rFonts w:ascii="宋体" w:hAnsi="宋体" w:cs="宋体"/>
          <w:b/>
          <w:bCs/>
          <w:spacing w:val="40"/>
          <w:kern w:val="0"/>
          <w:sz w:val="32"/>
          <w:szCs w:val="32"/>
        </w:rPr>
      </w:pPr>
    </w:p>
    <w:p w14:paraId="61A88702">
      <w:pPr>
        <w:tabs>
          <w:tab w:val="center" w:pos="6979"/>
        </w:tabs>
        <w:spacing w:before="156" w:beforeLines="50" w:after="156" w:afterLines="50"/>
        <w:jc w:val="center"/>
        <w:rPr>
          <w:rFonts w:ascii="宋体" w:hAnsi="宋体" w:cs="宋体"/>
          <w:b/>
          <w:bCs/>
          <w:spacing w:val="40"/>
          <w:kern w:val="0"/>
          <w:sz w:val="32"/>
          <w:szCs w:val="32"/>
        </w:rPr>
      </w:pPr>
    </w:p>
    <w:p w14:paraId="3257DDD7">
      <w:pPr>
        <w:tabs>
          <w:tab w:val="center" w:pos="6979"/>
        </w:tabs>
        <w:spacing w:before="156" w:beforeLines="50" w:after="156" w:afterLines="50"/>
        <w:jc w:val="center"/>
        <w:rPr>
          <w:rFonts w:hint="eastAsia" w:ascii="宋体" w:hAnsi="宋体" w:cs="宋体"/>
          <w:b/>
          <w:bCs/>
          <w:spacing w:val="40"/>
          <w:kern w:val="0"/>
          <w:sz w:val="32"/>
          <w:szCs w:val="32"/>
        </w:rPr>
      </w:pPr>
      <w:r>
        <w:rPr>
          <w:rFonts w:hint="eastAsia" w:ascii="宋体" w:hAnsi="宋体" w:cs="宋体"/>
          <w:b/>
          <w:bCs/>
          <w:spacing w:val="40"/>
          <w:kern w:val="0"/>
          <w:sz w:val="32"/>
          <w:szCs w:val="32"/>
        </w:rPr>
        <w:t xml:space="preserve">第一部分 </w:t>
      </w:r>
      <w:r>
        <w:rPr>
          <w:rFonts w:hint="eastAsia" w:ascii="宋体" w:hAnsi="宋体" w:cs="宋体"/>
          <w:b/>
          <w:bCs/>
          <w:spacing w:val="40"/>
          <w:kern w:val="0"/>
          <w:sz w:val="32"/>
          <w:szCs w:val="32"/>
          <w:lang w:eastAsia="zh-CN"/>
        </w:rPr>
        <w:t>2025</w:t>
      </w:r>
      <w:r>
        <w:rPr>
          <w:rFonts w:hint="eastAsia" w:ascii="宋体" w:hAnsi="宋体" w:cs="宋体"/>
          <w:b/>
          <w:bCs/>
          <w:spacing w:val="40"/>
          <w:kern w:val="0"/>
          <w:sz w:val="32"/>
          <w:szCs w:val="32"/>
        </w:rPr>
        <w:t>年度部门决算报表</w:t>
      </w:r>
    </w:p>
    <w:p w14:paraId="2BB94CC3">
      <w:pPr>
        <w:pStyle w:val="2"/>
        <w:rPr>
          <w:b w:val="0"/>
          <w:bCs w:val="0"/>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14:paraId="102040BE">
      <w:pPr>
        <w:tabs>
          <w:tab w:val="center" w:pos="6979"/>
        </w:tabs>
        <w:spacing w:before="156" w:beforeLines="50" w:after="156" w:afterLines="50"/>
        <w:jc w:val="center"/>
        <w:rPr>
          <w:rFonts w:hint="eastAsia"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lang w:eastAsia="zh-CN"/>
        </w:rPr>
        <w:t>2025</w:t>
      </w:r>
      <w:r>
        <w:rPr>
          <w:rFonts w:hint="eastAsia" w:ascii="宋体" w:hAnsi="宋体"/>
          <w:b/>
          <w:spacing w:val="40"/>
          <w:sz w:val="32"/>
          <w:szCs w:val="32"/>
        </w:rPr>
        <w:t>年度部门决算说明</w:t>
      </w:r>
    </w:p>
    <w:p w14:paraId="565C86C3">
      <w:pPr>
        <w:tabs>
          <w:tab w:val="center" w:pos="6979"/>
        </w:tabs>
        <w:spacing w:line="580" w:lineRule="exact"/>
        <w:ind w:firstLine="548" w:firstLineChars="196"/>
        <w:rPr>
          <w:rFonts w:hint="eastAsia" w:ascii="黑体" w:eastAsia="黑体"/>
          <w:b/>
          <w:sz w:val="28"/>
          <w:szCs w:val="28"/>
        </w:rPr>
      </w:pPr>
      <w:r>
        <w:rPr>
          <w:rFonts w:hint="eastAsia" w:ascii="黑体" w:eastAsia="黑体"/>
          <w:b/>
          <w:sz w:val="28"/>
          <w:szCs w:val="28"/>
        </w:rPr>
        <w:t>一、部门/单位基本情况</w:t>
      </w:r>
    </w:p>
    <w:p w14:paraId="5132EE0F">
      <w:pPr>
        <w:tabs>
          <w:tab w:val="center" w:pos="6979"/>
        </w:tabs>
        <w:spacing w:line="580" w:lineRule="exact"/>
        <w:ind w:firstLine="420" w:firstLineChars="150"/>
        <w:rPr>
          <w:rFonts w:ascii="仿宋_GB2312" w:eastAsia="仿宋_GB2312"/>
          <w:sz w:val="28"/>
          <w:szCs w:val="28"/>
        </w:rPr>
      </w:pPr>
      <w:r>
        <w:rPr>
          <w:rFonts w:hint="eastAsia" w:ascii="仿宋_GB2312" w:eastAsia="仿宋_GB2312"/>
          <w:sz w:val="28"/>
          <w:szCs w:val="28"/>
        </w:rPr>
        <w:t>（一）机构</w:t>
      </w:r>
      <w:r>
        <w:rPr>
          <w:rFonts w:ascii="仿宋_GB2312" w:eastAsia="仿宋_GB2312"/>
          <w:sz w:val="28"/>
          <w:szCs w:val="28"/>
        </w:rPr>
        <w:t>设置、</w:t>
      </w:r>
      <w:r>
        <w:rPr>
          <w:rFonts w:hint="eastAsia" w:ascii="仿宋_GB2312" w:eastAsia="仿宋_GB2312"/>
          <w:sz w:val="28"/>
          <w:szCs w:val="28"/>
        </w:rPr>
        <w:t>职责</w:t>
      </w:r>
    </w:p>
    <w:p w14:paraId="39D4E048">
      <w:pPr>
        <w:tabs>
          <w:tab w:val="center" w:pos="6979"/>
        </w:tabs>
        <w:spacing w:line="580" w:lineRule="exact"/>
        <w:ind w:firstLine="548" w:firstLineChars="196"/>
        <w:rPr>
          <w:rFonts w:hint="eastAsia" w:ascii="仿宋_GB2312" w:eastAsia="仿宋_GB2312"/>
          <w:sz w:val="28"/>
          <w:szCs w:val="28"/>
          <w:lang w:val="en-US" w:eastAsia="zh-CN"/>
        </w:rPr>
      </w:pPr>
      <w:r>
        <w:rPr>
          <w:rFonts w:hint="eastAsia" w:ascii="仿宋_GB2312" w:eastAsia="仿宋_GB2312"/>
          <w:sz w:val="28"/>
          <w:szCs w:val="28"/>
          <w:lang w:val="en-US" w:eastAsia="zh-CN"/>
        </w:rPr>
        <w:t>北京市西城区人民政府陶然亭街道办事处是西城区人民政府的派出机关，是代表区政府对街道辖区行使管理职权的基层行政组织，行使区政府赋予的职权，内设7个机构：综合办公室、党群工作办公室、平安建设办公室、城市管理办公室、社区建设办公室、民生保障办公室和纪工委。另有三个下属事业单位：陶然亭街道党群服务中心、陶然亭街道市民服务中心、陶然亭街道全响应街区治理中心。</w:t>
      </w:r>
    </w:p>
    <w:p w14:paraId="6421473C">
      <w:pPr>
        <w:tabs>
          <w:tab w:val="center" w:pos="6979"/>
        </w:tabs>
        <w:spacing w:line="580" w:lineRule="exact"/>
        <w:ind w:firstLine="548" w:firstLineChars="196"/>
        <w:rPr>
          <w:rFonts w:hint="eastAsia" w:ascii="仿宋_GB2312" w:eastAsia="仿宋_GB2312"/>
          <w:sz w:val="28"/>
          <w:szCs w:val="28"/>
          <w:lang w:val="en-US" w:eastAsia="zh-CN"/>
        </w:rPr>
      </w:pPr>
      <w:r>
        <w:rPr>
          <w:rFonts w:hint="eastAsia" w:ascii="仿宋_GB2312" w:eastAsia="仿宋_GB2312"/>
          <w:sz w:val="28"/>
          <w:szCs w:val="28"/>
          <w:lang w:val="en-US" w:eastAsia="zh-CN"/>
        </w:rPr>
        <w:t>办事处主要职责：</w:t>
      </w:r>
    </w:p>
    <w:p w14:paraId="0012D88B">
      <w:pPr>
        <w:tabs>
          <w:tab w:val="center" w:pos="6979"/>
        </w:tabs>
        <w:spacing w:line="580" w:lineRule="exact"/>
        <w:ind w:firstLine="548" w:firstLineChars="196"/>
        <w:rPr>
          <w:rFonts w:hint="eastAsia" w:ascii="仿宋_GB2312" w:eastAsia="仿宋_GB2312"/>
          <w:sz w:val="28"/>
          <w:szCs w:val="28"/>
          <w:lang w:val="en-US" w:eastAsia="zh-CN"/>
        </w:rPr>
      </w:pPr>
      <w:r>
        <w:rPr>
          <w:rFonts w:hint="eastAsia" w:ascii="仿宋_GB2312" w:eastAsia="仿宋_GB2312"/>
          <w:sz w:val="28"/>
          <w:szCs w:val="28"/>
          <w:lang w:val="en-US" w:eastAsia="zh-CN"/>
        </w:rPr>
        <w:t>1．贯彻执行法律、法规、规章和市、区政府的决策部署，依法管理基层公共事务。 </w:t>
      </w:r>
    </w:p>
    <w:p w14:paraId="112FBB2B">
      <w:pPr>
        <w:tabs>
          <w:tab w:val="center" w:pos="6979"/>
        </w:tabs>
        <w:spacing w:line="580" w:lineRule="exact"/>
        <w:ind w:firstLine="548" w:firstLineChars="196"/>
        <w:rPr>
          <w:rFonts w:hint="eastAsia" w:ascii="仿宋_GB2312" w:eastAsia="仿宋_GB2312"/>
          <w:sz w:val="28"/>
          <w:szCs w:val="28"/>
          <w:lang w:val="en-US" w:eastAsia="zh-CN"/>
        </w:rPr>
      </w:pPr>
      <w:r>
        <w:rPr>
          <w:rFonts w:hint="eastAsia" w:ascii="仿宋_GB2312" w:eastAsia="仿宋_GB2312"/>
          <w:sz w:val="28"/>
          <w:szCs w:val="28"/>
          <w:lang w:val="en-US" w:eastAsia="zh-CN"/>
        </w:rPr>
        <w:t>2．承担辖区市容环境卫生、绿化美化的管理工作，推进街巷长、河长制工作，组织、协调城市管理综合执法和环境秩序综合治理工作，推进城市精细化管理。 </w:t>
      </w:r>
    </w:p>
    <w:p w14:paraId="49D19761">
      <w:pPr>
        <w:tabs>
          <w:tab w:val="center" w:pos="6979"/>
        </w:tabs>
        <w:spacing w:line="580" w:lineRule="exact"/>
        <w:ind w:firstLine="548" w:firstLineChars="196"/>
        <w:rPr>
          <w:rFonts w:hint="eastAsia" w:ascii="仿宋_GB2312" w:eastAsia="仿宋_GB2312"/>
          <w:sz w:val="28"/>
          <w:szCs w:val="28"/>
          <w:lang w:val="en-US" w:eastAsia="zh-CN"/>
        </w:rPr>
      </w:pPr>
      <w:r>
        <w:rPr>
          <w:rFonts w:hint="eastAsia" w:ascii="仿宋_GB2312" w:eastAsia="仿宋_GB2312"/>
          <w:sz w:val="28"/>
          <w:szCs w:val="28"/>
          <w:lang w:val="en-US" w:eastAsia="zh-CN"/>
        </w:rPr>
        <w:t>3．协助依法履行安全生产、消防安全、食品安全、环境保护、劳动保障、流动人口及出租房屋监督管理工作，承担辖区 应急、防汛和防灾减灾工作。 </w:t>
      </w:r>
    </w:p>
    <w:p w14:paraId="5B38A323">
      <w:pPr>
        <w:tabs>
          <w:tab w:val="center" w:pos="6979"/>
        </w:tabs>
        <w:spacing w:line="580" w:lineRule="exact"/>
        <w:ind w:firstLine="548" w:firstLineChars="196"/>
        <w:rPr>
          <w:rFonts w:hint="eastAsia" w:ascii="仿宋_GB2312" w:eastAsia="仿宋_GB2312"/>
          <w:sz w:val="28"/>
          <w:szCs w:val="28"/>
          <w:lang w:val="en-US" w:eastAsia="zh-CN"/>
        </w:rPr>
      </w:pPr>
      <w:r>
        <w:rPr>
          <w:rFonts w:hint="eastAsia" w:ascii="仿宋_GB2312" w:eastAsia="仿宋_GB2312"/>
          <w:sz w:val="28"/>
          <w:szCs w:val="28"/>
          <w:lang w:val="en-US" w:eastAsia="zh-CN"/>
        </w:rPr>
        <w:t>4．参与制定并组织实施社区建设规划和公共服务设施规划，组织辖区单位、居民和志愿者队伍为社区发展服务。</w:t>
      </w:r>
    </w:p>
    <w:p w14:paraId="41FB349E">
      <w:pPr>
        <w:tabs>
          <w:tab w:val="center" w:pos="6979"/>
        </w:tabs>
        <w:spacing w:line="580" w:lineRule="exact"/>
        <w:ind w:firstLine="548" w:firstLineChars="196"/>
        <w:rPr>
          <w:rFonts w:hint="eastAsia" w:ascii="仿宋_GB2312" w:eastAsia="仿宋_GB2312"/>
          <w:sz w:val="28"/>
          <w:szCs w:val="28"/>
          <w:lang w:val="en-US" w:eastAsia="zh-CN"/>
        </w:rPr>
      </w:pPr>
      <w:r>
        <w:rPr>
          <w:rFonts w:hint="eastAsia" w:ascii="仿宋_GB2312" w:eastAsia="仿宋_GB2312"/>
          <w:sz w:val="28"/>
          <w:szCs w:val="28"/>
          <w:lang w:val="en-US" w:eastAsia="zh-CN"/>
        </w:rPr>
        <w:t>5．负责社区居民委员会建设，指导社区居民委员会工作，培育、发展社区社会组织，指导、监督社区业主委员会。</w:t>
      </w:r>
    </w:p>
    <w:p w14:paraId="5C59665D">
      <w:pPr>
        <w:tabs>
          <w:tab w:val="center" w:pos="6979"/>
        </w:tabs>
        <w:spacing w:line="580" w:lineRule="exact"/>
        <w:ind w:firstLine="548" w:firstLineChars="196"/>
        <w:rPr>
          <w:rFonts w:hint="eastAsia" w:ascii="仿宋_GB2312" w:eastAsia="仿宋_GB2312"/>
          <w:sz w:val="28"/>
          <w:szCs w:val="28"/>
          <w:lang w:val="en-US" w:eastAsia="zh-CN"/>
        </w:rPr>
      </w:pPr>
      <w:r>
        <w:rPr>
          <w:rFonts w:hint="eastAsia" w:ascii="仿宋_GB2312" w:eastAsia="仿宋_GB2312"/>
          <w:sz w:val="28"/>
          <w:szCs w:val="28"/>
          <w:lang w:val="en-US" w:eastAsia="zh-CN"/>
        </w:rPr>
        <w:t>6．推进居民自治，动员社会力量参与社区治理，推动形成社区共治合力。向上级政府反映社情民意。 </w:t>
      </w:r>
    </w:p>
    <w:p w14:paraId="33B4A3D7">
      <w:pPr>
        <w:tabs>
          <w:tab w:val="center" w:pos="6979"/>
        </w:tabs>
        <w:spacing w:line="580" w:lineRule="exact"/>
        <w:ind w:firstLine="548" w:firstLineChars="196"/>
        <w:rPr>
          <w:rFonts w:hint="eastAsia" w:ascii="仿宋_GB2312" w:eastAsia="仿宋_GB2312"/>
          <w:sz w:val="28"/>
          <w:szCs w:val="28"/>
          <w:lang w:val="en-US" w:eastAsia="zh-CN"/>
        </w:rPr>
      </w:pPr>
      <w:r>
        <w:rPr>
          <w:rFonts w:hint="eastAsia" w:ascii="仿宋_GB2312" w:eastAsia="仿宋_GB2312"/>
          <w:sz w:val="28"/>
          <w:szCs w:val="28"/>
          <w:lang w:val="en-US" w:eastAsia="zh-CN"/>
        </w:rPr>
        <w:t>7．组织开展群众性文化、体育、科普活动，开展法治宣 传和社会公德教育，推动社区公益事业发展。 </w:t>
      </w:r>
    </w:p>
    <w:p w14:paraId="63A75854">
      <w:pPr>
        <w:tabs>
          <w:tab w:val="center" w:pos="6979"/>
        </w:tabs>
        <w:spacing w:line="580" w:lineRule="exact"/>
        <w:ind w:firstLine="548" w:firstLineChars="196"/>
        <w:rPr>
          <w:rFonts w:hint="eastAsia" w:ascii="仿宋_GB2312" w:eastAsia="仿宋_GB2312"/>
          <w:sz w:val="28"/>
          <w:szCs w:val="28"/>
          <w:lang w:val="en-US" w:eastAsia="zh-CN"/>
        </w:rPr>
      </w:pPr>
      <w:r>
        <w:rPr>
          <w:rFonts w:hint="eastAsia" w:ascii="仿宋_GB2312" w:eastAsia="仿宋_GB2312"/>
          <w:sz w:val="28"/>
          <w:szCs w:val="28"/>
          <w:lang w:val="en-US" w:eastAsia="zh-CN"/>
        </w:rPr>
        <w:t>8．组织开展公共服务，落实人力社保、民政、卫生健康、教育、住房保障、便民服务等政策，维护老年人、妇女、未成年人、残疾人等合法权益。 </w:t>
      </w:r>
    </w:p>
    <w:p w14:paraId="6702E8F6">
      <w:pPr>
        <w:tabs>
          <w:tab w:val="center" w:pos="6979"/>
        </w:tabs>
        <w:spacing w:line="580" w:lineRule="exact"/>
        <w:ind w:firstLine="548" w:firstLineChars="196"/>
        <w:rPr>
          <w:rFonts w:hint="eastAsia" w:ascii="仿宋_GB2312" w:eastAsia="仿宋_GB2312"/>
          <w:sz w:val="28"/>
          <w:szCs w:val="28"/>
          <w:lang w:val="en-US" w:eastAsia="zh-CN"/>
        </w:rPr>
      </w:pPr>
      <w:r>
        <w:rPr>
          <w:rFonts w:hint="eastAsia" w:ascii="仿宋_GB2312" w:eastAsia="仿宋_GB2312"/>
          <w:sz w:val="28"/>
          <w:szCs w:val="28"/>
          <w:lang w:val="en-US" w:eastAsia="zh-CN"/>
        </w:rPr>
        <w:t>9．负责联系、服务辖区单位，营造良好的营商环境。 </w:t>
      </w:r>
    </w:p>
    <w:p w14:paraId="08CF4A63">
      <w:pPr>
        <w:tabs>
          <w:tab w:val="center" w:pos="6979"/>
        </w:tabs>
        <w:spacing w:line="580" w:lineRule="exact"/>
        <w:ind w:firstLine="548" w:firstLineChars="196"/>
        <w:rPr>
          <w:rFonts w:hint="eastAsia" w:ascii="仿宋_GB2312" w:eastAsia="仿宋_GB2312"/>
          <w:sz w:val="28"/>
          <w:szCs w:val="28"/>
          <w:lang w:val="en-US" w:eastAsia="zh-CN"/>
        </w:rPr>
      </w:pPr>
      <w:r>
        <w:rPr>
          <w:rFonts w:hint="eastAsia" w:ascii="仿宋_GB2312" w:eastAsia="仿宋_GB2312"/>
          <w:sz w:val="28"/>
          <w:szCs w:val="28"/>
          <w:lang w:val="en-US" w:eastAsia="zh-CN"/>
        </w:rPr>
        <w:t>10．承办区政府交办的其他事项。</w:t>
      </w:r>
    </w:p>
    <w:p w14:paraId="668C9CC1">
      <w:pPr>
        <w:tabs>
          <w:tab w:val="center" w:pos="6979"/>
        </w:tabs>
        <w:spacing w:line="580" w:lineRule="exact"/>
        <w:ind w:firstLine="548" w:firstLineChars="196"/>
        <w:rPr>
          <w:rFonts w:hint="eastAsia" w:ascii="仿宋_GB2312" w:eastAsia="仿宋_GB2312"/>
          <w:sz w:val="28"/>
          <w:szCs w:val="28"/>
          <w:lang w:val="en-US" w:eastAsia="zh-CN"/>
        </w:rPr>
      </w:pPr>
      <w:r>
        <w:rPr>
          <w:rFonts w:hint="eastAsia" w:ascii="仿宋_GB2312" w:eastAsia="仿宋_GB2312"/>
          <w:sz w:val="28"/>
          <w:szCs w:val="28"/>
          <w:lang w:val="en-US" w:eastAsia="zh-CN"/>
        </w:rPr>
        <w:t>（二）人员构成情况</w:t>
      </w:r>
    </w:p>
    <w:p w14:paraId="75D0BB49">
      <w:pPr>
        <w:tabs>
          <w:tab w:val="center" w:pos="6979"/>
        </w:tabs>
        <w:spacing w:line="580" w:lineRule="exact"/>
        <w:ind w:firstLine="548" w:firstLineChars="196"/>
        <w:rPr>
          <w:rFonts w:hint="default" w:ascii="仿宋" w:hAnsi="仿宋" w:eastAsia="仿宋" w:cs="宋体"/>
          <w:color w:val="000000"/>
          <w:kern w:val="0"/>
          <w:sz w:val="32"/>
          <w:szCs w:val="32"/>
          <w:lang w:val="en-US" w:eastAsia="zh-CN"/>
        </w:rPr>
      </w:pPr>
      <w:bookmarkStart w:id="0" w:name="OLE_LINK1"/>
      <w:r>
        <w:rPr>
          <w:rFonts w:hint="eastAsia" w:ascii="仿宋_GB2312" w:eastAsia="仿宋_GB2312"/>
          <w:sz w:val="28"/>
          <w:szCs w:val="28"/>
          <w:lang w:val="en-US" w:eastAsia="zh-CN"/>
        </w:rPr>
        <w:t>陶然亭街道机关行政编制122名，工勤1名，事业编制60名。单位实际在职人数（含工人，含长休人员）354人，除行政、事业编制、工勤人员外包含司法社工5名，社工及安全员166名。</w:t>
      </w:r>
    </w:p>
    <w:bookmarkEnd w:id="0"/>
    <w:p w14:paraId="71E57674">
      <w:pPr>
        <w:tabs>
          <w:tab w:val="center" w:pos="6979"/>
        </w:tabs>
        <w:spacing w:line="580" w:lineRule="exact"/>
        <w:rPr>
          <w:rFonts w:hint="eastAsia"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14:paraId="29DDE21D">
      <w:pPr>
        <w:tabs>
          <w:tab w:val="center" w:pos="6979"/>
        </w:tabs>
        <w:spacing w:line="580" w:lineRule="exact"/>
        <w:ind w:firstLine="548" w:firstLineChars="196"/>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2025年度收、支总计22385.01万元，比上年23197万元减少811.99万元，下降3.50%。</w:t>
      </w:r>
    </w:p>
    <w:p w14:paraId="2A159AC9">
      <w:pPr>
        <w:tabs>
          <w:tab w:val="center" w:pos="6979"/>
        </w:tabs>
        <w:spacing w:line="580" w:lineRule="exact"/>
        <w:ind w:firstLine="548" w:firstLineChars="196"/>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（一）收入决算说明</w:t>
      </w:r>
    </w:p>
    <w:p w14:paraId="6C983C0A">
      <w:pPr>
        <w:tabs>
          <w:tab w:val="center" w:pos="6979"/>
        </w:tabs>
        <w:spacing w:line="580" w:lineRule="exact"/>
        <w:ind w:firstLine="548" w:firstLineChars="196"/>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2025年度本年收入合计22385.01万元，比上年23197万元减少811.99万元，下降3.50%。</w:t>
      </w:r>
    </w:p>
    <w:p w14:paraId="49732AEC">
      <w:pPr>
        <w:tabs>
          <w:tab w:val="center" w:pos="6979"/>
        </w:tabs>
        <w:spacing w:line="580" w:lineRule="exact"/>
        <w:ind w:firstLine="548" w:firstLineChars="196"/>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1.财政拨款收入22385.01万元，占收入合计的100%。其中：一般公共预算财政拨款收入22345.34万元，占收入合计的99.82%；政府性基金预算财政拨款收入0万元，占收入合计的0%；国有资本经营预算财政拨款收入39.68万元，占收入合计的0.17%；</w:t>
      </w:r>
    </w:p>
    <w:p w14:paraId="04CDBF04">
      <w:pPr>
        <w:tabs>
          <w:tab w:val="center" w:pos="6979"/>
        </w:tabs>
        <w:spacing w:line="580" w:lineRule="exact"/>
        <w:ind w:firstLine="548" w:firstLineChars="196"/>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2.上级补助收入0万元，占收入合计的0%；</w:t>
      </w:r>
    </w:p>
    <w:p w14:paraId="202866BC">
      <w:pPr>
        <w:tabs>
          <w:tab w:val="center" w:pos="6979"/>
        </w:tabs>
        <w:spacing w:line="580" w:lineRule="exact"/>
        <w:ind w:firstLine="548" w:firstLineChars="196"/>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3.事业收入0万元，占收入合计的0%；</w:t>
      </w:r>
    </w:p>
    <w:p w14:paraId="0A2487F1">
      <w:pPr>
        <w:tabs>
          <w:tab w:val="center" w:pos="6979"/>
        </w:tabs>
        <w:spacing w:line="580" w:lineRule="exact"/>
        <w:ind w:firstLine="548" w:firstLineChars="196"/>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4.经营收入0万元，占收入合计的0%；</w:t>
      </w:r>
    </w:p>
    <w:p w14:paraId="746EC829">
      <w:pPr>
        <w:tabs>
          <w:tab w:val="center" w:pos="6979"/>
        </w:tabs>
        <w:spacing w:line="580" w:lineRule="exact"/>
        <w:ind w:firstLine="548" w:firstLineChars="196"/>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5.附属单位上缴收入0万元，占收入合计的0%；</w:t>
      </w:r>
    </w:p>
    <w:p w14:paraId="11F7D0F4">
      <w:pPr>
        <w:tabs>
          <w:tab w:val="center" w:pos="6979"/>
        </w:tabs>
        <w:spacing w:line="580" w:lineRule="exact"/>
        <w:ind w:firstLine="548" w:firstLineChars="196"/>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6.其他收入0万元，占收入合计的0%。</w:t>
      </w:r>
    </w:p>
    <w:p w14:paraId="77E728C7">
      <w:pPr>
        <w:pStyle w:val="2"/>
        <w:jc w:val="center"/>
        <w:rPr>
          <w:rFonts w:hint="eastAsia"/>
        </w:rPr>
      </w:pPr>
      <w:r>
        <w:rPr>
          <w:rFonts w:hint="eastAsia" w:ascii="仿宋_GB2312" w:eastAsia="仿宋_GB2312"/>
          <w:color w:val="000000"/>
          <w:sz w:val="32"/>
        </w:rPr>
        <w:t>图1：收入决算</w:t>
      </w:r>
    </w:p>
    <w:p w14:paraId="3E22DC67">
      <w:pPr>
        <w:pStyle w:val="3"/>
        <w:ind w:firstLine="420"/>
        <w:jc w:val="center"/>
      </w:pPr>
      <w:r>
        <w:drawing>
          <wp:inline distT="0" distB="0" distL="0" distR="0">
            <wp:extent cx="4036695" cy="2328545"/>
            <wp:effectExtent l="4445" t="4445" r="12700" b="13970"/>
            <wp:docPr id="2" name="图表 2"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7C714036">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14:paraId="1A51B918">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度本年支出合计</w:t>
      </w:r>
      <w:r>
        <w:rPr>
          <w:rFonts w:ascii="仿宋_GB2312" w:eastAsia="仿宋_GB2312"/>
          <w:sz w:val="28"/>
          <w:szCs w:val="28"/>
        </w:rPr>
        <w:t>22385.01</w:t>
      </w:r>
      <w:r>
        <w:rPr>
          <w:rFonts w:hint="eastAsia" w:ascii="仿宋_GB2312" w:eastAsia="仿宋_GB2312"/>
          <w:sz w:val="28"/>
          <w:szCs w:val="28"/>
        </w:rPr>
        <w:t>万元，</w:t>
      </w:r>
      <w:r>
        <w:rPr>
          <w:rFonts w:ascii="仿宋_GB2312" w:eastAsia="仿宋_GB2312"/>
          <w:sz w:val="28"/>
          <w:szCs w:val="28"/>
        </w:rPr>
        <w:t>比上年23197</w:t>
      </w:r>
      <w:r>
        <w:rPr>
          <w:rFonts w:hint="eastAsia" w:ascii="仿宋_GB2312" w:eastAsia="仿宋_GB2312"/>
          <w:sz w:val="28"/>
          <w:szCs w:val="28"/>
          <w:lang w:eastAsia="zh-CN"/>
        </w:rPr>
        <w:t>万元减少</w:t>
      </w:r>
      <w:r>
        <w:rPr>
          <w:rFonts w:hint="eastAsia" w:ascii="仿宋_GB2312" w:eastAsia="仿宋_GB2312"/>
          <w:sz w:val="28"/>
          <w:szCs w:val="28"/>
        </w:rPr>
        <w:t>811.99万元，下降</w:t>
      </w:r>
      <w:r>
        <w:rPr>
          <w:rFonts w:hint="eastAsia" w:ascii="仿宋_GB2312" w:eastAsia="仿宋_GB2312"/>
          <w:sz w:val="28"/>
          <w:szCs w:val="28"/>
          <w:lang w:val="en-US" w:eastAsia="zh-CN"/>
        </w:rPr>
        <w:t>3.50</w:t>
      </w:r>
      <w:r>
        <w:rPr>
          <w:rFonts w:hint="eastAsia" w:ascii="仿宋_GB2312" w:eastAsia="仿宋_GB2312"/>
          <w:sz w:val="28"/>
          <w:szCs w:val="28"/>
        </w:rPr>
        <w:t>%，其中：基本支出</w:t>
      </w:r>
      <w:r>
        <w:rPr>
          <w:rFonts w:ascii="仿宋_GB2312" w:eastAsia="仿宋_GB2312"/>
          <w:sz w:val="28"/>
          <w:szCs w:val="28"/>
        </w:rPr>
        <w:t>6844.84</w:t>
      </w:r>
      <w:r>
        <w:rPr>
          <w:rFonts w:hint="eastAsia" w:ascii="仿宋_GB2312" w:eastAsia="仿宋_GB2312"/>
          <w:sz w:val="28"/>
          <w:szCs w:val="28"/>
        </w:rPr>
        <w:t>万元，占支出合计的</w:t>
      </w:r>
      <w:r>
        <w:rPr>
          <w:rFonts w:ascii="仿宋_GB2312" w:eastAsia="仿宋_GB2312"/>
          <w:sz w:val="28"/>
          <w:szCs w:val="28"/>
        </w:rPr>
        <w:t>30.57</w:t>
      </w:r>
      <w:r>
        <w:rPr>
          <w:rFonts w:hint="eastAsia" w:ascii="仿宋_GB2312" w:eastAsia="仿宋_GB2312"/>
          <w:sz w:val="28"/>
          <w:szCs w:val="28"/>
        </w:rPr>
        <w:t>%；项目支出</w:t>
      </w:r>
      <w:r>
        <w:rPr>
          <w:rFonts w:ascii="仿宋_GB2312" w:eastAsia="仿宋_GB2312"/>
          <w:sz w:val="28"/>
          <w:szCs w:val="28"/>
        </w:rPr>
        <w:t>15540.17</w:t>
      </w:r>
      <w:r>
        <w:rPr>
          <w:rFonts w:hint="eastAsia" w:ascii="仿宋_GB2312" w:eastAsia="仿宋_GB2312"/>
          <w:sz w:val="28"/>
          <w:szCs w:val="28"/>
        </w:rPr>
        <w:t>万元，占支出合计的</w:t>
      </w:r>
      <w:r>
        <w:rPr>
          <w:rFonts w:ascii="仿宋_GB2312" w:eastAsia="仿宋_GB2312"/>
          <w:sz w:val="28"/>
          <w:szCs w:val="28"/>
        </w:rPr>
        <w:t>69.42</w:t>
      </w:r>
      <w:r>
        <w:rPr>
          <w:rFonts w:hint="eastAsia" w:ascii="仿宋_GB2312" w:eastAsia="仿宋_GB2312"/>
          <w:sz w:val="28"/>
          <w:szCs w:val="28"/>
        </w:rPr>
        <w:t>%;上缴上级支出</w:t>
      </w:r>
      <w:r>
        <w:rPr>
          <w:rFonts w:ascii="仿宋_GB2312" w:eastAsia="仿宋_GB2312"/>
          <w:sz w:val="28"/>
          <w:szCs w:val="28"/>
        </w:rPr>
        <w:t>0</w:t>
      </w:r>
      <w:r>
        <w:rPr>
          <w:rFonts w:hint="eastAsia" w:ascii="仿宋_GB2312" w:eastAsia="仿宋_GB2312"/>
          <w:sz w:val="28"/>
          <w:szCs w:val="28"/>
        </w:rPr>
        <w:t>万元，占支出合计的</w:t>
      </w:r>
      <w:r>
        <w:rPr>
          <w:rFonts w:ascii="仿宋_GB2312" w:eastAsia="仿宋_GB2312"/>
          <w:sz w:val="28"/>
          <w:szCs w:val="28"/>
        </w:rPr>
        <w:t>0</w:t>
      </w:r>
      <w:r>
        <w:rPr>
          <w:rFonts w:hint="eastAsia" w:ascii="仿宋_GB2312" w:eastAsia="仿宋_GB2312"/>
          <w:sz w:val="28"/>
          <w:szCs w:val="28"/>
        </w:rPr>
        <w:t>%；经营支出</w:t>
      </w:r>
      <w:r>
        <w:rPr>
          <w:rFonts w:ascii="仿宋_GB2312" w:eastAsia="仿宋_GB2312"/>
          <w:sz w:val="28"/>
          <w:szCs w:val="28"/>
        </w:rPr>
        <w:t>0</w:t>
      </w:r>
      <w:r>
        <w:rPr>
          <w:rFonts w:hint="eastAsia" w:ascii="仿宋_GB2312" w:eastAsia="仿宋_GB2312"/>
          <w:sz w:val="28"/>
          <w:szCs w:val="28"/>
        </w:rPr>
        <w:t>万元，占支出合计的</w:t>
      </w:r>
      <w:r>
        <w:rPr>
          <w:rFonts w:ascii="仿宋_GB2312" w:eastAsia="仿宋_GB2312"/>
          <w:sz w:val="28"/>
          <w:szCs w:val="28"/>
        </w:rPr>
        <w:t>0</w:t>
      </w:r>
      <w:r>
        <w:rPr>
          <w:rFonts w:hint="eastAsia" w:ascii="仿宋_GB2312" w:eastAsia="仿宋_GB2312"/>
          <w:sz w:val="28"/>
          <w:szCs w:val="28"/>
        </w:rPr>
        <w:t>%；对附属单位补助支出</w:t>
      </w:r>
      <w:r>
        <w:rPr>
          <w:rFonts w:ascii="仿宋_GB2312" w:eastAsia="仿宋_GB2312"/>
          <w:sz w:val="28"/>
          <w:szCs w:val="28"/>
        </w:rPr>
        <w:t>0</w:t>
      </w:r>
      <w:r>
        <w:rPr>
          <w:rFonts w:hint="eastAsia" w:ascii="仿宋_GB2312" w:eastAsia="仿宋_GB2312"/>
          <w:sz w:val="28"/>
          <w:szCs w:val="28"/>
        </w:rPr>
        <w:t>万元，占支出合计的</w:t>
      </w:r>
      <w:r>
        <w:rPr>
          <w:rFonts w:ascii="仿宋_GB2312" w:eastAsia="仿宋_GB2312"/>
          <w:sz w:val="28"/>
          <w:szCs w:val="28"/>
        </w:rPr>
        <w:t>0</w:t>
      </w:r>
      <w:r>
        <w:rPr>
          <w:rFonts w:hint="eastAsia" w:ascii="仿宋_GB2312" w:eastAsia="仿宋_GB2312"/>
          <w:sz w:val="28"/>
          <w:szCs w:val="28"/>
        </w:rPr>
        <w:t>%。</w:t>
      </w:r>
    </w:p>
    <w:p w14:paraId="04F689F3">
      <w:pPr>
        <w:pStyle w:val="2"/>
        <w:ind w:firstLine="642"/>
        <w:jc w:val="center"/>
        <w:rPr>
          <w:rFonts w:ascii="仿宋_GB2312" w:eastAsia="仿宋_GB2312"/>
          <w:color w:val="000000"/>
          <w:sz w:val="32"/>
        </w:rPr>
      </w:pPr>
      <w:r>
        <w:rPr>
          <w:rFonts w:hint="eastAsia" w:ascii="仿宋_GB2312" w:eastAsia="仿宋_GB2312"/>
          <w:color w:val="000000"/>
          <w:sz w:val="32"/>
        </w:rPr>
        <w:t>图2：基本支出和项目支出情况</w:t>
      </w:r>
    </w:p>
    <w:p w14:paraId="170B1154">
      <w:pPr>
        <w:jc w:val="center"/>
        <w:rPr>
          <w:rFonts w:ascii="黑体" w:eastAsia="黑体"/>
          <w:b/>
          <w:sz w:val="28"/>
          <w:szCs w:val="28"/>
        </w:rPr>
      </w:pPr>
      <w:r>
        <w:drawing>
          <wp:inline distT="0" distB="0" distL="114300" distR="114300">
            <wp:extent cx="4572000" cy="2743200"/>
            <wp:effectExtent l="4445" t="4445" r="10795" b="10795"/>
            <wp:docPr id="4"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4009389">
      <w:pPr>
        <w:tabs>
          <w:tab w:val="center" w:pos="6979"/>
        </w:tabs>
        <w:spacing w:line="580" w:lineRule="exact"/>
        <w:ind w:firstLine="548" w:firstLineChars="196"/>
        <w:rPr>
          <w:rFonts w:hint="eastAsia"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14:paraId="04F6B10F">
      <w:pPr>
        <w:tabs>
          <w:tab w:val="center" w:pos="6979"/>
        </w:tabs>
        <w:spacing w:line="580" w:lineRule="exact"/>
        <w:ind w:firstLine="548" w:firstLineChars="196"/>
        <w:rPr>
          <w:rFonts w:hint="eastAsia" w:ascii="仿宋_GB2312" w:eastAsia="仿宋_GB2312"/>
          <w:sz w:val="28"/>
          <w:szCs w:val="28"/>
          <w:lang w:eastAsia="zh-CN"/>
        </w:rPr>
      </w:pPr>
      <w:r>
        <w:rPr>
          <w:rFonts w:hint="eastAsia" w:ascii="仿宋_GB2312" w:eastAsia="仿宋_GB2312"/>
          <w:sz w:val="28"/>
          <w:szCs w:val="28"/>
          <w:lang w:eastAsia="zh-CN"/>
        </w:rPr>
        <w:t>2025年度财政拨款收、支总计22385.01万元，比上年23197万元减少811.99万元，下降3.50%。主要原因：统筹压减非必要、非刚性项目支出，相应调减部分项目财政收入规模，导致本年收入较上年有所下降。</w:t>
      </w:r>
    </w:p>
    <w:p w14:paraId="398AEECC">
      <w:pPr>
        <w:tabs>
          <w:tab w:val="center" w:pos="6979"/>
        </w:tabs>
        <w:spacing w:line="580" w:lineRule="exact"/>
        <w:ind w:firstLine="548" w:firstLineChars="196"/>
        <w:rPr>
          <w:rFonts w:hint="eastAsia" w:ascii="黑体" w:eastAsia="黑体"/>
          <w:b/>
          <w:sz w:val="28"/>
          <w:szCs w:val="28"/>
        </w:rPr>
      </w:pPr>
      <w:r>
        <w:rPr>
          <w:rFonts w:hint="eastAsia" w:ascii="黑体" w:eastAsia="黑体"/>
          <w:b/>
          <w:sz w:val="28"/>
          <w:szCs w:val="28"/>
        </w:rPr>
        <w:t>四、一般公共预算财政拨款支出决算情况说明</w:t>
      </w:r>
    </w:p>
    <w:p w14:paraId="7FF525AD">
      <w:pPr>
        <w:autoSpaceDE w:val="0"/>
        <w:autoSpaceDN w:val="0"/>
        <w:adjustRightInd w:val="0"/>
        <w:spacing w:line="580" w:lineRule="exact"/>
        <w:ind w:firstLine="560" w:firstLineChars="200"/>
        <w:jc w:val="left"/>
        <w:rPr>
          <w:rFonts w:hint="eastAsia" w:ascii="仿宋_GB2312" w:eastAsia="仿宋_GB2312"/>
          <w:sz w:val="28"/>
          <w:szCs w:val="28"/>
        </w:rPr>
      </w:pPr>
      <w:r>
        <w:rPr>
          <w:rFonts w:hint="eastAsia" w:ascii="仿宋_GB2312" w:eastAsia="仿宋_GB2312"/>
          <w:sz w:val="28"/>
          <w:szCs w:val="28"/>
        </w:rPr>
        <w:t>（一）一般公共预算财政拨款支出决算总体情况</w:t>
      </w:r>
    </w:p>
    <w:p w14:paraId="15A62615">
      <w:pPr>
        <w:keepNext w:val="0"/>
        <w:keepLines w:val="0"/>
        <w:widowControl/>
        <w:suppressLineNumbers w:val="0"/>
        <w:ind w:firstLine="560" w:firstLineChars="200"/>
        <w:jc w:val="left"/>
        <w:rPr>
          <w:rFonts w:hint="eastAsia"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度一般公共预算财政拨款支出</w:t>
      </w:r>
      <w:r>
        <w:rPr>
          <w:rFonts w:ascii="仿宋_GB2312" w:eastAsia="仿宋_GB2312"/>
          <w:sz w:val="28"/>
          <w:szCs w:val="28"/>
        </w:rPr>
        <w:t>22345.34</w:t>
      </w:r>
      <w:r>
        <w:rPr>
          <w:rFonts w:hint="eastAsia" w:ascii="仿宋_GB2312" w:eastAsia="仿宋_GB2312"/>
          <w:sz w:val="28"/>
          <w:szCs w:val="28"/>
        </w:rPr>
        <w:t>万元，主要用于以下方面（按大类）：</w:t>
      </w:r>
      <w:r>
        <w:rPr>
          <w:rFonts w:ascii="仿宋_GB2312" w:eastAsia="仿宋_GB2312"/>
          <w:sz w:val="28"/>
          <w:szCs w:val="28"/>
          <w:lang w:val="en-US" w:eastAsia="zh-CN"/>
        </w:rPr>
        <w:t>一般公共服务支出753.69万元，占本年财政拨款支出33.73%；</w:t>
      </w:r>
      <w:r>
        <w:rPr>
          <w:rFonts w:hint="default" w:ascii="仿宋_GB2312" w:eastAsia="仿宋_GB2312"/>
          <w:sz w:val="28"/>
          <w:szCs w:val="28"/>
          <w:lang w:val="en-US" w:eastAsia="zh-CN"/>
        </w:rPr>
        <w:t>公共安全支出13.17万元，占本年财政拨款支出0.59%；文化旅游体育与传媒支出20.89万元，占本年财政拨款支出0.93%；社会保障和就业支出394.69万元，占本年财政拨款支出17.66%；卫生健康支出63.88万元，占本年财政拨款支出2.86%；节能环保支出25.13万元，占本年财政拨款支出1.12%；城乡社区支出918.55万元，占本年财政拨款支出41.11%；住房保障支出44.52万元，占本年财政拨款支出1.99%</w:t>
      </w:r>
      <w:r>
        <w:rPr>
          <w:rFonts w:hint="eastAsia" w:ascii="仿宋_GB2312" w:eastAsia="仿宋_GB2312"/>
          <w:sz w:val="28"/>
          <w:szCs w:val="28"/>
        </w:rPr>
        <w:t>。</w:t>
      </w:r>
    </w:p>
    <w:p w14:paraId="445B53D6">
      <w:pPr>
        <w:pStyle w:val="2"/>
        <w:ind w:firstLine="642"/>
        <w:jc w:val="center"/>
        <w:rPr>
          <w:rFonts w:hint="eastAsia"/>
        </w:rPr>
      </w:pPr>
      <w:r>
        <w:rPr>
          <w:rFonts w:hint="eastAsia" w:ascii="仿宋_GB2312" w:eastAsia="仿宋_GB2312"/>
          <w:color w:val="000000"/>
          <w:sz w:val="32"/>
          <w:lang w:eastAsia="zh-CN"/>
        </w:rPr>
        <w:t>表</w:t>
      </w:r>
      <w:r>
        <w:rPr>
          <w:rFonts w:hint="eastAsia" w:ascii="仿宋_GB2312" w:eastAsia="仿宋_GB2312"/>
          <w:color w:val="000000"/>
          <w:sz w:val="32"/>
          <w:lang w:val="en-US" w:eastAsia="zh-CN"/>
        </w:rPr>
        <w:t>1</w:t>
      </w:r>
      <w:r>
        <w:rPr>
          <w:rFonts w:hint="eastAsia" w:ascii="仿宋_GB2312" w:eastAsia="仿宋_GB2312"/>
          <w:color w:val="000000"/>
          <w:sz w:val="32"/>
        </w:rPr>
        <w:t>：一般公共预算财政拨款支出决算支出情况</w:t>
      </w:r>
    </w:p>
    <w:p w14:paraId="4456E7B2">
      <w:pPr>
        <w:keepNext w:val="0"/>
        <w:keepLines w:val="0"/>
        <w:widowControl/>
        <w:suppressLineNumbers w:val="0"/>
        <w:ind w:firstLine="560" w:firstLineChars="200"/>
        <w:jc w:val="center"/>
        <w:rPr>
          <w:rFonts w:hint="eastAsia" w:ascii="仿宋_GB2312" w:eastAsia="仿宋_GB2312"/>
          <w:sz w:val="28"/>
          <w:szCs w:val="28"/>
          <w:lang w:eastAsia="zh-CN"/>
        </w:rPr>
      </w:pPr>
      <w:r>
        <w:rPr>
          <w:rFonts w:hint="eastAsia" w:ascii="仿宋_GB2312" w:eastAsia="仿宋_GB2312"/>
          <w:sz w:val="28"/>
          <w:szCs w:val="28"/>
          <w:lang w:eastAsia="zh-CN"/>
        </w:rPr>
        <w:drawing>
          <wp:inline distT="0" distB="0" distL="114300" distR="114300">
            <wp:extent cx="7002780" cy="1767840"/>
            <wp:effectExtent l="0" t="0" r="7620" b="0"/>
            <wp:docPr id="5" name="图片 5" descr="234917299d0ff8e893b096294de35f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34917299d0ff8e893b096294de35ffe"/>
                    <pic:cNvPicPr>
                      <a:picLocks noChangeAspect="1"/>
                    </pic:cNvPicPr>
                  </pic:nvPicPr>
                  <pic:blipFill>
                    <a:blip r:embed="rId9"/>
                    <a:stretch>
                      <a:fillRect/>
                    </a:stretch>
                  </pic:blipFill>
                  <pic:spPr>
                    <a:xfrm>
                      <a:off x="0" y="0"/>
                      <a:ext cx="7002780" cy="1767840"/>
                    </a:xfrm>
                    <a:prstGeom prst="rect">
                      <a:avLst/>
                    </a:prstGeom>
                  </pic:spPr>
                </pic:pic>
              </a:graphicData>
            </a:graphic>
          </wp:inline>
        </w:drawing>
      </w:r>
    </w:p>
    <w:p w14:paraId="5BE37A19">
      <w:pPr>
        <w:autoSpaceDE w:val="0"/>
        <w:autoSpaceDN w:val="0"/>
        <w:adjustRightInd w:val="0"/>
        <w:spacing w:line="580" w:lineRule="exact"/>
        <w:ind w:firstLine="560" w:firstLineChars="200"/>
        <w:jc w:val="left"/>
        <w:rPr>
          <w:rFonts w:hint="eastAsia" w:ascii="仿宋_GB2312" w:eastAsia="仿宋_GB2312"/>
          <w:sz w:val="28"/>
          <w:szCs w:val="28"/>
        </w:rPr>
      </w:pPr>
      <w:r>
        <w:rPr>
          <w:rFonts w:hint="eastAsia" w:ascii="仿宋_GB2312" w:eastAsia="仿宋_GB2312"/>
          <w:sz w:val="28"/>
          <w:szCs w:val="28"/>
        </w:rPr>
        <w:t>（二）一般公共预算财政拨款支出决算具体情况</w:t>
      </w:r>
    </w:p>
    <w:p w14:paraId="1796B401">
      <w:pPr>
        <w:keepNext w:val="0"/>
        <w:keepLines w:val="0"/>
        <w:widowControl/>
        <w:suppressLineNumbers w:val="0"/>
        <w:ind w:firstLine="560" w:firstLineChars="200"/>
        <w:jc w:val="left"/>
        <w:rPr>
          <w:rFonts w:hint="eastAsia" w:ascii="仿宋_GB2312" w:eastAsia="仿宋_GB2312"/>
          <w:sz w:val="28"/>
          <w:szCs w:val="28"/>
        </w:rPr>
      </w:pPr>
      <w:r>
        <w:rPr>
          <w:rFonts w:hint="eastAsia" w:ascii="仿宋_GB2312" w:eastAsia="仿宋_GB2312"/>
          <w:sz w:val="28"/>
          <w:szCs w:val="28"/>
        </w:rPr>
        <w:t>1、一般公共服务支出（类）2025年度决算753.69万元，比2025年度年初预算749.14万元增加4.55万元，增长0.61%。</w:t>
      </w:r>
      <w:r>
        <w:rPr>
          <w:rFonts w:hint="eastAsia" w:ascii="仿宋_GB2312" w:eastAsia="仿宋_GB2312"/>
          <w:sz w:val="28"/>
          <w:szCs w:val="28"/>
          <w:highlight w:val="none"/>
          <w:lang w:eastAsia="zh-CN"/>
        </w:rPr>
        <w:t>其中：地区工程项目经费等</w:t>
      </w:r>
      <w:r>
        <w:rPr>
          <w:rFonts w:hint="eastAsia" w:ascii="仿宋_GB2312" w:eastAsia="仿宋_GB2312"/>
          <w:sz w:val="28"/>
          <w:szCs w:val="28"/>
          <w:lang w:val="en-US" w:eastAsia="zh-CN"/>
        </w:rPr>
        <w:t>根据实际招标金额、审计报告核定结果等，部分完工项目经费调减，节约资金统筹用于新增项目建设，该项经费总体调增。</w:t>
      </w:r>
    </w:p>
    <w:p w14:paraId="16AFFAE7">
      <w:pPr>
        <w:spacing w:line="580" w:lineRule="exact"/>
        <w:ind w:firstLine="560" w:firstLineChars="200"/>
        <w:rPr>
          <w:rFonts w:hint="default" w:ascii="仿宋_GB2312" w:eastAsia="仿宋_GB2312"/>
          <w:sz w:val="28"/>
          <w:szCs w:val="28"/>
          <w:highlight w:val="none"/>
          <w:lang w:val="en-US"/>
        </w:rPr>
      </w:pPr>
      <w:r>
        <w:rPr>
          <w:rFonts w:hint="eastAsia" w:ascii="仿宋_GB2312" w:eastAsia="仿宋_GB2312"/>
          <w:sz w:val="28"/>
          <w:szCs w:val="28"/>
          <w:lang w:val="en-US" w:eastAsia="zh-CN"/>
        </w:rPr>
        <w:t>2、</w:t>
      </w:r>
      <w:r>
        <w:rPr>
          <w:rFonts w:hint="eastAsia" w:ascii="仿宋_GB2312" w:eastAsia="仿宋_GB2312"/>
          <w:sz w:val="28"/>
          <w:szCs w:val="28"/>
        </w:rPr>
        <w:t>公共安全支出（类）2025年度决算13.17万元，比2025年度年初预算13.88万元减少0.71万元，下降5.09%。</w:t>
      </w:r>
      <w:r>
        <w:rPr>
          <w:rFonts w:hint="eastAsia" w:ascii="仿宋_GB2312" w:eastAsia="仿宋_GB2312"/>
          <w:sz w:val="28"/>
          <w:szCs w:val="28"/>
          <w:lang w:eastAsia="zh-CN"/>
        </w:rPr>
        <w:t>其中：</w:t>
      </w:r>
      <w:r>
        <w:rPr>
          <w:rFonts w:hint="eastAsia" w:ascii="仿宋_GB2312" w:eastAsia="仿宋_GB2312"/>
          <w:sz w:val="28"/>
          <w:szCs w:val="28"/>
          <w:highlight w:val="none"/>
          <w:lang w:eastAsia="zh-CN"/>
        </w:rPr>
        <w:t>平安陶然建设工作经费因电动自行车充电设施安装及维修费较预计金额减少</w:t>
      </w:r>
      <w:r>
        <w:rPr>
          <w:rFonts w:hint="eastAsia" w:ascii="仿宋_GB2312" w:eastAsia="仿宋_GB2312"/>
          <w:sz w:val="28"/>
          <w:szCs w:val="28"/>
          <w:highlight w:val="none"/>
          <w:lang w:val="en-US" w:eastAsia="zh-CN"/>
        </w:rPr>
        <w:t>0.8万元。</w:t>
      </w:r>
    </w:p>
    <w:p w14:paraId="30F3543B">
      <w:pPr>
        <w:keepNext w:val="0"/>
        <w:keepLines w:val="0"/>
        <w:widowControl/>
        <w:suppressLineNumbers w:val="0"/>
        <w:ind w:firstLine="560" w:firstLineChars="200"/>
        <w:jc w:val="left"/>
        <w:rPr>
          <w:rFonts w:hint="eastAsia" w:ascii="仿宋_GB2312" w:eastAsia="仿宋_GB2312"/>
          <w:sz w:val="28"/>
          <w:szCs w:val="28"/>
          <w:lang w:eastAsia="zh-CN"/>
        </w:rPr>
      </w:pPr>
      <w:r>
        <w:rPr>
          <w:rFonts w:hint="eastAsia" w:ascii="仿宋_GB2312" w:eastAsia="仿宋_GB2312"/>
          <w:sz w:val="28"/>
          <w:szCs w:val="28"/>
          <w:lang w:val="en-US" w:eastAsia="zh-CN"/>
        </w:rPr>
        <w:t>3、</w:t>
      </w:r>
      <w:r>
        <w:rPr>
          <w:rFonts w:hint="eastAsia" w:ascii="仿宋_GB2312" w:eastAsia="仿宋_GB2312"/>
          <w:sz w:val="28"/>
          <w:szCs w:val="28"/>
        </w:rPr>
        <w:t>文化旅游体育与传媒支出（类）2025年度决算20.89万元，比2025年度年初预算20.05万元增加0.85万元，增长4.22%</w:t>
      </w:r>
      <w:r>
        <w:rPr>
          <w:rFonts w:hint="eastAsia" w:ascii="仿宋_GB2312" w:eastAsia="仿宋_GB2312"/>
          <w:sz w:val="28"/>
          <w:szCs w:val="28"/>
          <w:lang w:eastAsia="zh-CN"/>
        </w:rPr>
        <w:t>。其中</w:t>
      </w:r>
      <w:r>
        <w:rPr>
          <w:rFonts w:hint="eastAsia" w:ascii="仿宋_GB2312" w:eastAsia="仿宋_GB2312"/>
          <w:sz w:val="28"/>
          <w:szCs w:val="28"/>
          <w:highlight w:val="none"/>
          <w:lang w:eastAsia="zh-CN"/>
        </w:rPr>
        <w:t>：街道图书馆运营经费</w:t>
      </w:r>
      <w:r>
        <w:rPr>
          <w:rFonts w:hint="eastAsia" w:ascii="仿宋_GB2312" w:eastAsia="仿宋_GB2312"/>
          <w:sz w:val="28"/>
          <w:szCs w:val="28"/>
          <w:highlight w:val="none"/>
          <w:lang w:val="en-US" w:eastAsia="zh-CN"/>
        </w:rPr>
        <w:t>因本年度新增图书购置经费实行区图书馆与街道共同分担机制，其中部分费用由区图书馆承担，街道实际负担金额减少，故相应调减该项预算。</w:t>
      </w:r>
    </w:p>
    <w:p w14:paraId="5340C0DE">
      <w:pPr>
        <w:spacing w:line="580" w:lineRule="exact"/>
        <w:ind w:firstLine="560" w:firstLineChars="200"/>
        <w:rPr>
          <w:rFonts w:hint="eastAsia" w:ascii="仿宋_GB2312" w:eastAsia="仿宋_GB2312"/>
          <w:sz w:val="28"/>
          <w:szCs w:val="28"/>
        </w:rPr>
      </w:pPr>
      <w:r>
        <w:rPr>
          <w:rFonts w:hint="eastAsia" w:ascii="仿宋_GB2312" w:eastAsia="仿宋_GB2312"/>
          <w:sz w:val="28"/>
          <w:szCs w:val="28"/>
          <w:lang w:val="en-US" w:eastAsia="zh-CN"/>
        </w:rPr>
        <w:t>4、</w:t>
      </w:r>
      <w:r>
        <w:rPr>
          <w:rFonts w:hint="eastAsia" w:ascii="仿宋_GB2312" w:eastAsia="仿宋_GB2312"/>
          <w:sz w:val="28"/>
          <w:szCs w:val="28"/>
        </w:rPr>
        <w:t>社会保障和就业支出（类）2025年度决算394.69万元，比2025年度年初预算408.36万元减少13.67万元，下降3.35%</w:t>
      </w:r>
      <w:r>
        <w:rPr>
          <w:rFonts w:hint="eastAsia" w:ascii="仿宋_GB2312" w:eastAsia="仿宋_GB2312"/>
          <w:sz w:val="28"/>
          <w:szCs w:val="28"/>
          <w:highlight w:val="none"/>
        </w:rPr>
        <w:t>。</w:t>
      </w:r>
      <w:r>
        <w:rPr>
          <w:rFonts w:hint="eastAsia" w:ascii="仿宋_GB2312" w:eastAsia="仿宋_GB2312"/>
          <w:sz w:val="28"/>
          <w:szCs w:val="28"/>
          <w:highlight w:val="none"/>
          <w:lang w:eastAsia="zh-CN"/>
        </w:rPr>
        <w:t>其中：养老服务联合体建设经费因探访关爱签约人数较预期减少，故进行调减。</w:t>
      </w:r>
    </w:p>
    <w:p w14:paraId="38E56A41">
      <w:pPr>
        <w:spacing w:line="580" w:lineRule="exact"/>
        <w:ind w:firstLine="560" w:firstLineChars="200"/>
        <w:rPr>
          <w:rFonts w:hint="eastAsia" w:ascii="仿宋_GB2312" w:eastAsia="仿宋_GB2312"/>
          <w:sz w:val="28"/>
          <w:szCs w:val="28"/>
        </w:rPr>
      </w:pPr>
      <w:r>
        <w:rPr>
          <w:rFonts w:hint="eastAsia" w:ascii="仿宋_GB2312" w:eastAsia="仿宋_GB2312"/>
          <w:sz w:val="28"/>
          <w:szCs w:val="28"/>
          <w:lang w:val="en-US" w:eastAsia="zh-CN"/>
        </w:rPr>
        <w:t>5、</w:t>
      </w:r>
      <w:r>
        <w:rPr>
          <w:rFonts w:hint="eastAsia" w:ascii="仿宋_GB2312" w:eastAsia="仿宋_GB2312"/>
          <w:sz w:val="28"/>
          <w:szCs w:val="28"/>
        </w:rPr>
        <w:t>卫生健康支出（类）2025年度决算63.88万元，比2025年度年初预算66.19万元减少2.31万元，下降3.48%。</w:t>
      </w:r>
    </w:p>
    <w:p w14:paraId="109E8C0D">
      <w:pPr>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6、</w:t>
      </w:r>
      <w:r>
        <w:rPr>
          <w:rFonts w:hint="eastAsia" w:ascii="仿宋_GB2312" w:eastAsia="仿宋_GB2312"/>
          <w:sz w:val="28"/>
          <w:szCs w:val="28"/>
        </w:rPr>
        <w:t>节能环保支出（类）2025年度决算25.13万元，比2025年度年初预算38.49万元减少13.36万元，下降34.71%。</w:t>
      </w:r>
      <w:r>
        <w:rPr>
          <w:rFonts w:hint="eastAsia" w:ascii="仿宋_GB2312" w:eastAsia="仿宋_GB2312"/>
          <w:sz w:val="28"/>
          <w:szCs w:val="28"/>
          <w:lang w:eastAsia="zh-CN"/>
        </w:rPr>
        <w:t>因实际中标金额，调减相应金额。</w:t>
      </w:r>
    </w:p>
    <w:p w14:paraId="3473D4C3">
      <w:pPr>
        <w:spacing w:line="580" w:lineRule="exact"/>
        <w:ind w:firstLine="560" w:firstLineChars="200"/>
        <w:rPr>
          <w:rFonts w:hint="eastAsia" w:ascii="仿宋_GB2312" w:eastAsia="仿宋_GB2312"/>
          <w:sz w:val="28"/>
          <w:szCs w:val="28"/>
        </w:rPr>
      </w:pPr>
      <w:r>
        <w:rPr>
          <w:rFonts w:hint="eastAsia" w:ascii="仿宋_GB2312" w:eastAsia="仿宋_GB2312"/>
          <w:sz w:val="28"/>
          <w:szCs w:val="28"/>
          <w:lang w:val="en-US" w:eastAsia="zh-CN"/>
        </w:rPr>
        <w:t>7、</w:t>
      </w:r>
      <w:r>
        <w:rPr>
          <w:rFonts w:hint="eastAsia" w:ascii="仿宋_GB2312" w:eastAsia="仿宋_GB2312"/>
          <w:sz w:val="28"/>
          <w:szCs w:val="28"/>
        </w:rPr>
        <w:t>城乡社区支出（类）2025年度决算918.55万元，比2025年度年初预算884.08万元增加34.47万元，增长3.90%。</w:t>
      </w:r>
      <w:r>
        <w:rPr>
          <w:rFonts w:hint="eastAsia" w:ascii="仿宋_GB2312" w:eastAsia="仿宋_GB2312"/>
          <w:sz w:val="28"/>
          <w:szCs w:val="28"/>
          <w:lang w:eastAsia="zh-CN"/>
        </w:rPr>
        <w:t>其中：地区工程经费新增粉房琉璃街交通整治提升工程，选定施工单位后调增项目金额。</w:t>
      </w:r>
    </w:p>
    <w:p w14:paraId="3C500D33">
      <w:pPr>
        <w:spacing w:line="580" w:lineRule="exact"/>
        <w:ind w:firstLine="560" w:firstLineChars="200"/>
        <w:rPr>
          <w:rFonts w:hint="eastAsia" w:ascii="仿宋_GB2312" w:eastAsia="仿宋_GB2312"/>
          <w:sz w:val="28"/>
          <w:szCs w:val="28"/>
        </w:rPr>
      </w:pPr>
      <w:r>
        <w:rPr>
          <w:rFonts w:hint="eastAsia" w:ascii="仿宋_GB2312" w:eastAsia="仿宋_GB2312"/>
          <w:sz w:val="28"/>
          <w:szCs w:val="28"/>
          <w:lang w:val="en-US" w:eastAsia="zh-CN"/>
        </w:rPr>
        <w:t>8、</w:t>
      </w:r>
      <w:r>
        <w:rPr>
          <w:rFonts w:hint="eastAsia" w:ascii="仿宋_GB2312" w:eastAsia="仿宋_GB2312"/>
          <w:sz w:val="28"/>
          <w:szCs w:val="28"/>
        </w:rPr>
        <w:t xml:space="preserve">住房保障支出（类）2025年度决算44.52万元，比2025年度年初预算44.52万元增加0.00万元，增长0.00%。 </w:t>
      </w:r>
    </w:p>
    <w:p w14:paraId="28C0E2D4">
      <w:pPr>
        <w:spacing w:line="580" w:lineRule="exact"/>
        <w:ind w:firstLine="560" w:firstLineChars="200"/>
        <w:rPr>
          <w:rFonts w:hint="eastAsia" w:ascii="仿宋_GB2312" w:eastAsia="仿宋_GB2312"/>
          <w:sz w:val="28"/>
          <w:szCs w:val="28"/>
        </w:rPr>
      </w:pPr>
      <w:r>
        <w:rPr>
          <w:rFonts w:hint="eastAsia" w:ascii="仿宋_GB2312" w:eastAsia="仿宋_GB2312"/>
          <w:sz w:val="28"/>
          <w:szCs w:val="28"/>
          <w:lang w:val="en-US" w:eastAsia="zh-CN"/>
        </w:rPr>
        <w:t>9、</w:t>
      </w:r>
      <w:r>
        <w:rPr>
          <w:rFonts w:hint="eastAsia" w:ascii="仿宋_GB2312" w:eastAsia="仿宋_GB2312"/>
          <w:sz w:val="28"/>
          <w:szCs w:val="28"/>
        </w:rPr>
        <w:t>国有资本经营预算支出（类）2025年度决算0.00万元，比2025年度年初预算1.35万元减少1.35万元，下降100.00%。</w:t>
      </w:r>
    </w:p>
    <w:p w14:paraId="37B0AFB8">
      <w:pPr>
        <w:spacing w:line="580" w:lineRule="exact"/>
        <w:ind w:firstLine="560" w:firstLineChars="200"/>
        <w:rPr>
          <w:rFonts w:hint="eastAsia" w:ascii="仿宋_GB2312" w:eastAsia="仿宋_GB2312"/>
          <w:sz w:val="28"/>
          <w:szCs w:val="28"/>
        </w:rPr>
      </w:pPr>
      <w:r>
        <w:rPr>
          <w:rFonts w:hint="eastAsia" w:ascii="黑体" w:eastAsia="黑体"/>
          <w:b/>
          <w:sz w:val="28"/>
          <w:szCs w:val="28"/>
        </w:rPr>
        <w:t>五、政府性基金预算财政拨款支出决算情况说明</w:t>
      </w:r>
    </w:p>
    <w:p w14:paraId="6DE7D2DA">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（一）政府性基金预算财政拨款支出决算总体情况</w:t>
      </w:r>
    </w:p>
    <w:p w14:paraId="011CAFB3">
      <w:pPr>
        <w:tabs>
          <w:tab w:val="center" w:pos="6979"/>
        </w:tabs>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2025年</w:t>
      </w:r>
      <w:r>
        <w:rPr>
          <w:rFonts w:hint="eastAsia" w:ascii="仿宋_GB2312" w:eastAsia="仿宋_GB2312"/>
          <w:sz w:val="28"/>
          <w:szCs w:val="28"/>
        </w:rPr>
        <w:t>度政府性基金预算财政拨款支出</w:t>
      </w:r>
      <w:r>
        <w:rPr>
          <w:rFonts w:ascii="仿宋_GB2312" w:eastAsia="仿宋_GB2312"/>
          <w:sz w:val="28"/>
          <w:szCs w:val="28"/>
        </w:rPr>
        <w:t>0</w:t>
      </w:r>
      <w:r>
        <w:rPr>
          <w:rFonts w:hint="eastAsia" w:ascii="仿宋_GB2312" w:eastAsia="仿宋_GB2312"/>
          <w:sz w:val="28"/>
          <w:szCs w:val="28"/>
        </w:rPr>
        <w:t>万元</w:t>
      </w:r>
      <w:r>
        <w:rPr>
          <w:rFonts w:hint="eastAsia" w:ascii="仿宋_GB2312" w:eastAsia="仿宋_GB2312"/>
          <w:sz w:val="28"/>
          <w:szCs w:val="28"/>
          <w:lang w:eastAsia="zh-CN"/>
        </w:rPr>
        <w:t>。</w:t>
      </w:r>
    </w:p>
    <w:p w14:paraId="55272629">
      <w:pPr>
        <w:numPr>
          <w:ilvl w:val="0"/>
          <w:numId w:val="0"/>
        </w:numPr>
        <w:autoSpaceDE w:val="0"/>
        <w:autoSpaceDN w:val="0"/>
        <w:adjustRightInd w:val="0"/>
        <w:spacing w:line="580" w:lineRule="exact"/>
        <w:ind w:firstLine="560" w:firstLineChars="200"/>
        <w:jc w:val="left"/>
      </w:pPr>
      <w:r>
        <w:rPr>
          <w:rFonts w:hint="eastAsia" w:ascii="仿宋_GB2312" w:hAnsi="Times New Roman" w:eastAsia="仿宋_GB2312" w:cs="Times New Roman"/>
          <w:sz w:val="28"/>
          <w:szCs w:val="28"/>
          <w:lang w:eastAsia="zh-CN"/>
        </w:rPr>
        <w:t>（二）</w:t>
      </w:r>
      <w:r>
        <w:rPr>
          <w:rFonts w:hint="eastAsia" w:ascii="仿宋_GB2312" w:hAnsi="Times New Roman" w:eastAsia="仿宋_GB2312" w:cs="Times New Roman"/>
          <w:sz w:val="28"/>
          <w:szCs w:val="28"/>
        </w:rPr>
        <w:t>政府</w:t>
      </w:r>
      <w:r>
        <w:rPr>
          <w:rFonts w:hint="eastAsia" w:ascii="仿宋_GB2312" w:eastAsia="仿宋_GB2312"/>
          <w:sz w:val="28"/>
          <w:szCs w:val="28"/>
        </w:rPr>
        <w:t>性基金预算财政拨款支出决算具体情况</w:t>
      </w:r>
    </w:p>
    <w:p w14:paraId="4A3CF901">
      <w:pPr>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2025年</w:t>
      </w:r>
      <w:r>
        <w:rPr>
          <w:rFonts w:hint="eastAsia" w:ascii="仿宋_GB2312" w:eastAsia="仿宋_GB2312"/>
          <w:sz w:val="28"/>
          <w:szCs w:val="28"/>
        </w:rPr>
        <w:t>度</w:t>
      </w:r>
      <w:r>
        <w:rPr>
          <w:rFonts w:hint="eastAsia" w:ascii="仿宋_GB2312" w:eastAsia="仿宋_GB2312"/>
          <w:sz w:val="28"/>
          <w:szCs w:val="28"/>
          <w:lang w:eastAsia="zh-CN"/>
        </w:rPr>
        <w:t>不涉及</w:t>
      </w:r>
      <w:r>
        <w:rPr>
          <w:rFonts w:hint="eastAsia" w:ascii="仿宋_GB2312" w:eastAsia="仿宋_GB2312"/>
          <w:sz w:val="28"/>
          <w:szCs w:val="28"/>
        </w:rPr>
        <w:t>政府性基金预算财政拨款支出</w:t>
      </w:r>
      <w:r>
        <w:rPr>
          <w:rFonts w:hint="eastAsia" w:ascii="仿宋_GB2312" w:eastAsia="仿宋_GB2312"/>
          <w:sz w:val="28"/>
          <w:szCs w:val="28"/>
          <w:lang w:eastAsia="zh-CN"/>
        </w:rPr>
        <w:t>。</w:t>
      </w:r>
    </w:p>
    <w:p w14:paraId="0AD23840">
      <w:pPr>
        <w:spacing w:line="580" w:lineRule="exact"/>
        <w:ind w:firstLine="560" w:firstLineChars="200"/>
        <w:rPr>
          <w:rFonts w:hint="eastAsia"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14:paraId="7F9F16D3">
      <w:pPr>
        <w:ind w:firstLine="537" w:firstLineChars="192"/>
        <w:rPr>
          <w:rFonts w:ascii="仿宋_GB2312" w:eastAsia="仿宋_GB2312"/>
          <w:sz w:val="28"/>
          <w:szCs w:val="28"/>
        </w:rPr>
      </w:pPr>
      <w:r>
        <w:rPr>
          <w:rFonts w:hint="eastAsia" w:ascii="仿宋_GB2312" w:eastAsia="仿宋_GB2312"/>
          <w:sz w:val="28"/>
          <w:szCs w:val="28"/>
          <w:lang w:eastAsia="zh-CN"/>
        </w:rPr>
        <w:t>2025</w:t>
      </w:r>
      <w:r>
        <w:rPr>
          <w:rFonts w:hint="eastAsia" w:ascii="仿宋_GB2312" w:eastAsia="仿宋_GB2312"/>
          <w:sz w:val="28"/>
          <w:szCs w:val="28"/>
        </w:rPr>
        <w:t>年度国有资本经营预算财政</w:t>
      </w:r>
      <w:r>
        <w:rPr>
          <w:rFonts w:ascii="仿宋_GB2312" w:eastAsia="仿宋_GB2312"/>
          <w:sz w:val="28"/>
          <w:szCs w:val="28"/>
        </w:rPr>
        <w:t>拨款</w:t>
      </w:r>
      <w:r>
        <w:rPr>
          <w:rFonts w:hint="eastAsia" w:ascii="仿宋_GB2312" w:eastAsia="仿宋_GB2312"/>
          <w:sz w:val="28"/>
          <w:szCs w:val="28"/>
        </w:rPr>
        <w:t>收入总</w:t>
      </w:r>
      <w:r>
        <w:rPr>
          <w:rFonts w:ascii="仿宋_GB2312" w:eastAsia="仿宋_GB2312"/>
          <w:sz w:val="28"/>
          <w:szCs w:val="28"/>
        </w:rPr>
        <w:t>计39.68</w:t>
      </w:r>
      <w:r>
        <w:rPr>
          <w:rFonts w:hint="eastAsia" w:ascii="仿宋_GB2312" w:eastAsia="仿宋_GB2312"/>
          <w:sz w:val="28"/>
          <w:szCs w:val="28"/>
        </w:rPr>
        <w:t>万元，国有资本经营预算财政</w:t>
      </w:r>
      <w:r>
        <w:rPr>
          <w:rFonts w:ascii="仿宋_GB2312" w:eastAsia="仿宋_GB2312"/>
          <w:sz w:val="28"/>
          <w:szCs w:val="28"/>
        </w:rPr>
        <w:t>拨款</w:t>
      </w:r>
      <w:r>
        <w:rPr>
          <w:rFonts w:hint="eastAsia" w:ascii="仿宋_GB2312" w:eastAsia="仿宋_GB2312"/>
          <w:sz w:val="28"/>
          <w:szCs w:val="28"/>
        </w:rPr>
        <w:t>支出总</w:t>
      </w:r>
      <w:r>
        <w:rPr>
          <w:rFonts w:ascii="仿宋_GB2312" w:eastAsia="仿宋_GB2312"/>
          <w:sz w:val="28"/>
          <w:szCs w:val="28"/>
        </w:rPr>
        <w:t>计39.68</w:t>
      </w:r>
      <w:r>
        <w:rPr>
          <w:rFonts w:hint="eastAsia" w:ascii="仿宋_GB2312" w:eastAsia="仿宋_GB2312"/>
          <w:sz w:val="28"/>
          <w:szCs w:val="28"/>
        </w:rPr>
        <w:t>万元。</w:t>
      </w:r>
    </w:p>
    <w:p w14:paraId="17AF90F0">
      <w:pPr>
        <w:spacing w:line="580" w:lineRule="exact"/>
        <w:ind w:firstLine="548" w:firstLineChars="196"/>
        <w:rPr>
          <w:rFonts w:hint="eastAsia" w:ascii="黑体" w:eastAsia="黑体"/>
          <w:sz w:val="28"/>
          <w:szCs w:val="28"/>
        </w:rPr>
      </w:pPr>
      <w:r>
        <w:rPr>
          <w:rFonts w:hint="eastAsia" w:ascii="黑体" w:eastAsia="黑体"/>
          <w:b/>
          <w:sz w:val="28"/>
          <w:szCs w:val="28"/>
        </w:rPr>
        <w:t>七、财政拨款基本支出决算情况说明</w:t>
      </w:r>
    </w:p>
    <w:p w14:paraId="6C089D51">
      <w:pPr>
        <w:tabs>
          <w:tab w:val="center" w:pos="6979"/>
        </w:tabs>
        <w:spacing w:line="580" w:lineRule="exact"/>
        <w:ind w:firstLine="548" w:firstLineChars="196"/>
        <w:rPr>
          <w:rFonts w:hint="eastAsia" w:ascii="宋体" w:hAnsi="宋体"/>
          <w:b/>
          <w:spacing w:val="40"/>
          <w:sz w:val="32"/>
          <w:szCs w:val="32"/>
        </w:rPr>
      </w:pPr>
      <w:r>
        <w:rPr>
          <w:rFonts w:hint="eastAsia" w:ascii="仿宋_GB2312" w:eastAsia="仿宋_GB2312"/>
          <w:sz w:val="28"/>
          <w:szCs w:val="28"/>
          <w:lang w:eastAsia="zh-CN"/>
        </w:rPr>
        <w:t>2025</w:t>
      </w:r>
      <w:r>
        <w:rPr>
          <w:rFonts w:hint="eastAsia" w:ascii="仿宋_GB2312" w:eastAsia="仿宋_GB2312"/>
          <w:sz w:val="28"/>
          <w:szCs w:val="28"/>
        </w:rPr>
        <w:t>年度使用一般公共预算财政拨款安排基本支出</w:t>
      </w:r>
      <w:r>
        <w:rPr>
          <w:rFonts w:ascii="仿宋_GB2312" w:eastAsia="仿宋_GB2312"/>
          <w:sz w:val="28"/>
          <w:szCs w:val="28"/>
        </w:rPr>
        <w:t>6844.84</w:t>
      </w:r>
      <w:r>
        <w:rPr>
          <w:rFonts w:hint="eastAsia" w:ascii="仿宋_GB2312" w:eastAsia="仿宋_GB2312"/>
          <w:sz w:val="28"/>
          <w:szCs w:val="28"/>
        </w:rPr>
        <w:t>万元，使用政府性基金财政拨款安排基本支出</w:t>
      </w:r>
      <w:r>
        <w:rPr>
          <w:rFonts w:ascii="仿宋_GB2312" w:eastAsia="仿宋_GB2312"/>
          <w:sz w:val="28"/>
          <w:szCs w:val="28"/>
        </w:rPr>
        <w:t>0</w:t>
      </w:r>
      <w:r>
        <w:rPr>
          <w:rFonts w:hint="eastAsia" w:ascii="仿宋_GB2312" w:eastAsia="仿宋_GB2312"/>
          <w:sz w:val="28"/>
          <w:szCs w:val="28"/>
        </w:rPr>
        <w:t>万元，（1）工资福利支出包括基本工资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w:t>
      </w:r>
      <w:r>
        <w:rPr>
          <w:rFonts w:ascii="仿宋_GB2312" w:eastAsia="仿宋_GB2312"/>
          <w:sz w:val="28"/>
          <w:szCs w:val="28"/>
          <w:highlight w:val="none"/>
          <w:u w:val="none"/>
        </w:rPr>
        <w:t>其他交通费</w:t>
      </w:r>
      <w:r>
        <w:rPr>
          <w:rFonts w:hint="eastAsia" w:ascii="仿宋_GB2312" w:eastAsia="仿宋_GB2312"/>
          <w:sz w:val="28"/>
          <w:szCs w:val="28"/>
          <w:highlight w:val="none"/>
          <w:u w:val="none"/>
          <w:lang w:eastAsia="zh-CN"/>
        </w:rPr>
        <w:t>用</w:t>
      </w:r>
      <w:r>
        <w:rPr>
          <w:rFonts w:ascii="仿宋_GB2312" w:eastAsia="仿宋_GB2312"/>
          <w:sz w:val="28"/>
          <w:szCs w:val="28"/>
        </w:rPr>
        <w:t>、其他商品和服务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rPr>
        <w:t>等</w:t>
      </w:r>
      <w:r>
        <w:rPr>
          <w:rFonts w:ascii="仿宋_GB2312" w:eastAsia="仿宋_GB2312"/>
          <w:sz w:val="28"/>
          <w:szCs w:val="28"/>
        </w:rPr>
        <w:t>。</w:t>
      </w:r>
    </w:p>
    <w:p w14:paraId="11BCC05C">
      <w:pPr>
        <w:tabs>
          <w:tab w:val="center" w:pos="6979"/>
        </w:tabs>
        <w:jc w:val="center"/>
        <w:rPr>
          <w:rFonts w:hint="eastAsia" w:ascii="宋体" w:hAnsi="宋体" w:cs="宋体"/>
          <w:b/>
          <w:spacing w:val="40"/>
          <w:kern w:val="0"/>
          <w:sz w:val="32"/>
          <w:szCs w:val="32"/>
        </w:rPr>
      </w:pPr>
      <w:r>
        <w:rPr>
          <w:rFonts w:hint="eastAsia" w:ascii="宋体" w:hAnsi="宋体" w:cs="宋体"/>
          <w:b/>
          <w:bCs/>
          <w:spacing w:val="40"/>
          <w:kern w:val="0"/>
          <w:sz w:val="32"/>
          <w:szCs w:val="32"/>
        </w:rPr>
        <w:t>第三部分</w:t>
      </w:r>
      <w:r>
        <w:rPr>
          <w:rFonts w:hint="eastAsia" w:ascii="宋体" w:hAnsi="宋体"/>
          <w:b/>
          <w:spacing w:val="40"/>
          <w:sz w:val="32"/>
          <w:szCs w:val="32"/>
          <w:lang w:eastAsia="zh-CN"/>
        </w:rPr>
        <w:t>2025</w:t>
      </w:r>
      <w:r>
        <w:rPr>
          <w:rFonts w:hint="eastAsia" w:ascii="宋体" w:hAnsi="宋体"/>
          <w:b/>
          <w:spacing w:val="40"/>
          <w:sz w:val="32"/>
          <w:szCs w:val="32"/>
        </w:rPr>
        <w:t>年度</w:t>
      </w:r>
      <w:r>
        <w:rPr>
          <w:rFonts w:hint="eastAsia" w:ascii="宋体" w:hAnsi="宋体" w:cs="宋体"/>
          <w:b/>
          <w:spacing w:val="40"/>
          <w:kern w:val="0"/>
          <w:sz w:val="32"/>
          <w:szCs w:val="32"/>
        </w:rPr>
        <w:t>其他重要事项的情况说明</w:t>
      </w:r>
    </w:p>
    <w:p w14:paraId="75579EB8">
      <w:pPr>
        <w:spacing w:line="560" w:lineRule="exact"/>
        <w:ind w:firstLine="560" w:firstLineChars="200"/>
        <w:rPr>
          <w:rFonts w:hint="eastAsia" w:ascii="黑体" w:eastAsia="黑体"/>
          <w:sz w:val="28"/>
          <w:szCs w:val="28"/>
        </w:rPr>
      </w:pPr>
      <w:r>
        <w:rPr>
          <w:rFonts w:hint="eastAsia" w:ascii="黑体" w:eastAsia="黑体"/>
          <w:sz w:val="28"/>
          <w:szCs w:val="28"/>
        </w:rPr>
        <w:t>一、“三公”经费财政拨款决算情况</w:t>
      </w:r>
    </w:p>
    <w:p w14:paraId="25A533F6">
      <w:pPr>
        <w:tabs>
          <w:tab w:val="center" w:pos="6979"/>
        </w:tabs>
        <w:ind w:firstLine="554" w:firstLineChars="198"/>
        <w:rPr>
          <w:rFonts w:hint="eastAsia" w:ascii="仿宋_GB2312" w:eastAsia="仿宋_GB2312"/>
          <w:sz w:val="28"/>
          <w:szCs w:val="28"/>
          <w:lang w:eastAsia="zh-CN"/>
        </w:rPr>
      </w:pPr>
      <w:r>
        <w:rPr>
          <w:rFonts w:hint="eastAsia" w:ascii="仿宋_GB2312" w:eastAsia="仿宋_GB2312"/>
          <w:sz w:val="28"/>
          <w:szCs w:val="28"/>
          <w:lang w:eastAsia="zh-CN"/>
        </w:rPr>
        <w:t>“三公”经费包括本单位1个行政单位。2025年度“三公”经费财政拨款决算数0.67万元，比2025年度“三公”经费财政拨款年初预算1.97万元减少1.3万元。其中：</w:t>
      </w:r>
    </w:p>
    <w:p w14:paraId="639FCC47">
      <w:pPr>
        <w:tabs>
          <w:tab w:val="center" w:pos="6979"/>
        </w:tabs>
        <w:ind w:firstLine="554" w:firstLineChars="198"/>
        <w:rPr>
          <w:rFonts w:hint="eastAsia" w:ascii="仿宋_GB2312" w:eastAsia="仿宋_GB2312"/>
          <w:sz w:val="28"/>
          <w:szCs w:val="28"/>
          <w:lang w:eastAsia="zh-CN"/>
        </w:rPr>
      </w:pPr>
      <w:r>
        <w:rPr>
          <w:rFonts w:hint="eastAsia" w:ascii="仿宋_GB2312" w:eastAsia="仿宋_GB2312"/>
          <w:sz w:val="28"/>
          <w:szCs w:val="28"/>
          <w:lang w:eastAsia="zh-CN"/>
        </w:rPr>
        <w:t>1.因公出国（境）费用。2025年度决算数0万元，和2025年度年初预算数0万元一致。主要原因：全年不涉及因公出国（境）工作。</w:t>
      </w:r>
    </w:p>
    <w:p w14:paraId="66A51E2E">
      <w:pPr>
        <w:tabs>
          <w:tab w:val="center" w:pos="6979"/>
        </w:tabs>
        <w:ind w:firstLine="554" w:firstLineChars="198"/>
        <w:rPr>
          <w:rFonts w:hint="eastAsia" w:ascii="仿宋_GB2312" w:eastAsia="仿宋_GB2312"/>
          <w:sz w:val="28"/>
          <w:szCs w:val="28"/>
          <w:lang w:eastAsia="zh-CN"/>
        </w:rPr>
      </w:pPr>
      <w:r>
        <w:rPr>
          <w:rFonts w:hint="eastAsia" w:ascii="仿宋_GB2312" w:eastAsia="仿宋_GB2312"/>
          <w:sz w:val="28"/>
          <w:szCs w:val="28"/>
          <w:lang w:eastAsia="zh-CN"/>
        </w:rPr>
        <w:t>2.公务接待费。2025年度决算数0万元，比2025年度年初预算数0.17万元减少0.17万元。主要原因：全年未开展公务接待工作。</w:t>
      </w:r>
    </w:p>
    <w:p w14:paraId="345CAEFA">
      <w:pPr>
        <w:tabs>
          <w:tab w:val="center" w:pos="6979"/>
        </w:tabs>
        <w:ind w:firstLine="554" w:firstLineChars="198"/>
        <w:rPr>
          <w:rFonts w:hint="eastAsia" w:ascii="仿宋_GB2312" w:eastAsia="仿宋_GB2312"/>
          <w:sz w:val="28"/>
          <w:szCs w:val="28"/>
          <w:lang w:eastAsia="zh-CN"/>
        </w:rPr>
      </w:pPr>
      <w:r>
        <w:rPr>
          <w:rFonts w:hint="eastAsia" w:ascii="仿宋_GB2312" w:eastAsia="仿宋_GB2312"/>
          <w:sz w:val="28"/>
          <w:szCs w:val="28"/>
          <w:lang w:eastAsia="zh-CN"/>
        </w:rPr>
        <w:t>3.公务用车购置及运行维护费。2025年度决算数0.67万元，比2025年度年初预算数1.8万元减少1.13万元。</w:t>
      </w:r>
    </w:p>
    <w:p w14:paraId="468E4E6A">
      <w:pPr>
        <w:tabs>
          <w:tab w:val="center" w:pos="6979"/>
        </w:tabs>
        <w:ind w:firstLine="554" w:firstLineChars="198"/>
        <w:rPr>
          <w:rFonts w:hint="eastAsia" w:ascii="仿宋_GB2312" w:eastAsia="仿宋_GB2312"/>
          <w:sz w:val="28"/>
          <w:szCs w:val="28"/>
          <w:lang w:eastAsia="zh-CN"/>
        </w:rPr>
      </w:pPr>
      <w:r>
        <w:rPr>
          <w:rFonts w:hint="eastAsia" w:ascii="仿宋_GB2312" w:eastAsia="仿宋_GB2312"/>
          <w:sz w:val="28"/>
          <w:szCs w:val="28"/>
          <w:lang w:eastAsia="zh-CN"/>
        </w:rPr>
        <w:t>其中，公务用车购置费2025年度决算数0万元，和2025年度年初预算数0万元一致。主要原因：全年未安排公务用车购置工作，2025年度购置（更新）0辆。公务用车运行维护费2025年度决算数0.67万元，比2025年度年初预算数1.80万元减少1.13万元，主要原因：根据公务用车维护实际发生金额结算。2025年度公务用车保有量1辆，车均运行维护费0.67万元。</w:t>
      </w:r>
    </w:p>
    <w:p w14:paraId="5CA7EECE">
      <w:pPr>
        <w:tabs>
          <w:tab w:val="center" w:pos="6979"/>
        </w:tabs>
        <w:ind w:firstLine="554" w:firstLineChars="198"/>
        <w:rPr>
          <w:rFonts w:hint="eastAsia" w:ascii="黑体" w:eastAsia="黑体"/>
          <w:sz w:val="28"/>
          <w:szCs w:val="28"/>
        </w:rPr>
      </w:pPr>
      <w:r>
        <w:rPr>
          <w:rFonts w:hint="eastAsia" w:ascii="黑体" w:eastAsia="黑体"/>
          <w:sz w:val="28"/>
          <w:szCs w:val="28"/>
        </w:rPr>
        <w:t>二、机关运行经费支出情况</w:t>
      </w:r>
    </w:p>
    <w:p w14:paraId="07A8F071">
      <w:pPr>
        <w:ind w:firstLine="537" w:firstLineChars="192"/>
        <w:rPr>
          <w:rFonts w:hint="eastAsia"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度使用财政拨款安排的基本支出中的日常公用经费支出，合计</w:t>
      </w:r>
      <w:r>
        <w:rPr>
          <w:rFonts w:ascii="仿宋_GB2312" w:eastAsia="仿宋_GB2312"/>
          <w:sz w:val="28"/>
          <w:szCs w:val="28"/>
        </w:rPr>
        <w:t>457.4</w:t>
      </w:r>
      <w:r>
        <w:rPr>
          <w:rFonts w:hint="eastAsia" w:ascii="仿宋_GB2312" w:eastAsia="仿宋_GB2312"/>
          <w:sz w:val="28"/>
          <w:szCs w:val="28"/>
        </w:rPr>
        <w:t>万元，比上年</w:t>
      </w:r>
      <w:r>
        <w:rPr>
          <w:rFonts w:hint="eastAsia" w:ascii="仿宋_GB2312" w:eastAsia="仿宋_GB2312"/>
          <w:sz w:val="28"/>
          <w:szCs w:val="28"/>
          <w:lang w:val="en-US" w:eastAsia="zh-CN"/>
        </w:rPr>
        <w:t>502.36万元</w:t>
      </w:r>
      <w:r>
        <w:rPr>
          <w:rFonts w:hint="eastAsia" w:ascii="仿宋_GB2312" w:eastAsia="仿宋_GB2312"/>
          <w:sz w:val="28"/>
          <w:szCs w:val="28"/>
          <w:lang w:eastAsia="zh-CN"/>
        </w:rPr>
        <w:t>减少</w:t>
      </w:r>
      <w:r>
        <w:rPr>
          <w:rFonts w:hint="eastAsia" w:ascii="仿宋_GB2312" w:eastAsia="仿宋_GB2312"/>
          <w:sz w:val="28"/>
          <w:szCs w:val="28"/>
        </w:rPr>
        <w:t>44.96</w:t>
      </w:r>
    </w:p>
    <w:p w14:paraId="56AFE058">
      <w:pPr>
        <w:ind w:firstLine="537" w:firstLineChars="192"/>
        <w:rPr>
          <w:rFonts w:ascii="仿宋_GB2312" w:eastAsia="仿宋_GB2312"/>
          <w:sz w:val="28"/>
          <w:szCs w:val="28"/>
        </w:rPr>
      </w:pPr>
      <w:r>
        <w:rPr>
          <w:rFonts w:hint="eastAsia" w:ascii="仿宋_GB2312" w:eastAsia="仿宋_GB2312"/>
          <w:sz w:val="28"/>
          <w:szCs w:val="28"/>
        </w:rPr>
        <w:t>万元，减少原因：通过精细化管理压缩不必要开支，实现</w:t>
      </w:r>
      <w:r>
        <w:rPr>
          <w:rFonts w:hint="eastAsia" w:ascii="仿宋_GB2312" w:eastAsia="仿宋_GB2312"/>
          <w:sz w:val="28"/>
          <w:szCs w:val="28"/>
          <w:lang w:eastAsia="zh-CN"/>
        </w:rPr>
        <w:t>执行情况</w:t>
      </w:r>
      <w:r>
        <w:rPr>
          <w:rFonts w:hint="eastAsia" w:ascii="仿宋_GB2312" w:eastAsia="仿宋_GB2312"/>
          <w:sz w:val="28"/>
          <w:szCs w:val="28"/>
        </w:rPr>
        <w:t>同比合理回落。</w:t>
      </w:r>
    </w:p>
    <w:p w14:paraId="4E3CC7B0">
      <w:pPr>
        <w:ind w:left="540"/>
        <w:rPr>
          <w:rFonts w:hint="eastAsia" w:ascii="黑体" w:eastAsia="黑体"/>
          <w:sz w:val="28"/>
          <w:szCs w:val="28"/>
        </w:rPr>
      </w:pPr>
      <w:r>
        <w:rPr>
          <w:rFonts w:hint="eastAsia" w:ascii="黑体" w:eastAsia="黑体"/>
          <w:sz w:val="28"/>
          <w:szCs w:val="28"/>
        </w:rPr>
        <w:t>三、政府采购支出情况</w:t>
      </w:r>
    </w:p>
    <w:p w14:paraId="468A1AA2">
      <w:pPr>
        <w:ind w:firstLine="560" w:firstLineChars="200"/>
        <w:jc w:val="both"/>
        <w:rPr>
          <w:rFonts w:hint="eastAsia" w:ascii="仿宋_GB2312" w:eastAsia="仿宋_GB2312"/>
          <w:sz w:val="28"/>
          <w:szCs w:val="28"/>
          <w:highlight w:val="yellow"/>
        </w:rPr>
      </w:pPr>
      <w:r>
        <w:rPr>
          <w:rFonts w:hint="eastAsia" w:ascii="仿宋_GB2312" w:eastAsia="仿宋_GB2312"/>
          <w:sz w:val="28"/>
          <w:szCs w:val="28"/>
          <w:lang w:eastAsia="zh-CN"/>
        </w:rPr>
        <w:t>2025年</w:t>
      </w:r>
      <w:r>
        <w:rPr>
          <w:rFonts w:hint="eastAsia" w:ascii="仿宋_GB2312" w:eastAsia="仿宋_GB2312"/>
          <w:sz w:val="28"/>
          <w:szCs w:val="28"/>
        </w:rPr>
        <w:t>度政府采购支出总额</w:t>
      </w:r>
      <w:r>
        <w:rPr>
          <w:rFonts w:ascii="仿宋_GB2312" w:eastAsia="仿宋_GB2312"/>
          <w:sz w:val="28"/>
          <w:szCs w:val="28"/>
        </w:rPr>
        <w:t>2599.23</w:t>
      </w:r>
      <w:r>
        <w:rPr>
          <w:rFonts w:hint="eastAsia" w:ascii="仿宋_GB2312" w:eastAsia="仿宋_GB2312"/>
          <w:sz w:val="28"/>
          <w:szCs w:val="28"/>
        </w:rPr>
        <w:t>万元，其中：政府采购货物支出</w:t>
      </w:r>
      <w:r>
        <w:rPr>
          <w:rFonts w:ascii="仿宋_GB2312" w:eastAsia="仿宋_GB2312"/>
          <w:sz w:val="28"/>
          <w:szCs w:val="28"/>
        </w:rPr>
        <w:t>161.66</w:t>
      </w:r>
      <w:r>
        <w:rPr>
          <w:rFonts w:hint="eastAsia" w:ascii="仿宋_GB2312" w:eastAsia="仿宋_GB2312"/>
          <w:sz w:val="28"/>
          <w:szCs w:val="28"/>
        </w:rPr>
        <w:t>万元，政府采购工程支出</w:t>
      </w:r>
      <w:r>
        <w:rPr>
          <w:rFonts w:ascii="仿宋_GB2312" w:eastAsia="仿宋_GB2312"/>
          <w:sz w:val="28"/>
          <w:szCs w:val="28"/>
        </w:rPr>
        <w:t>100</w:t>
      </w:r>
      <w:r>
        <w:rPr>
          <w:rFonts w:hint="eastAsia" w:ascii="仿宋_GB2312" w:eastAsia="仿宋_GB2312"/>
          <w:sz w:val="28"/>
          <w:szCs w:val="28"/>
        </w:rPr>
        <w:t>万元，政府采购服务支出</w:t>
      </w:r>
      <w:r>
        <w:rPr>
          <w:rFonts w:ascii="仿宋_GB2312" w:eastAsia="仿宋_GB2312"/>
          <w:sz w:val="28"/>
          <w:szCs w:val="28"/>
        </w:rPr>
        <w:t>2337.57</w:t>
      </w:r>
      <w:r>
        <w:rPr>
          <w:rFonts w:hint="eastAsia" w:ascii="仿宋_GB2312" w:eastAsia="仿宋_GB2312"/>
          <w:sz w:val="28"/>
          <w:szCs w:val="28"/>
        </w:rPr>
        <w:t>万元。授予中小企业合同金额</w:t>
      </w:r>
      <w:r>
        <w:rPr>
          <w:rFonts w:ascii="仿宋_GB2312" w:eastAsia="仿宋_GB2312"/>
          <w:sz w:val="28"/>
          <w:szCs w:val="28"/>
        </w:rPr>
        <w:t>2392.64</w:t>
      </w:r>
      <w:r>
        <w:rPr>
          <w:rFonts w:hint="eastAsia" w:ascii="仿宋_GB2312" w:eastAsia="仿宋_GB2312"/>
          <w:sz w:val="28"/>
          <w:szCs w:val="28"/>
        </w:rPr>
        <w:t>万元，占政府采购支出总额的</w:t>
      </w:r>
      <w:r>
        <w:rPr>
          <w:rFonts w:ascii="仿宋_GB2312" w:eastAsia="仿宋_GB2312"/>
          <w:sz w:val="28"/>
          <w:szCs w:val="28"/>
        </w:rPr>
        <w:t>92.05</w:t>
      </w:r>
      <w:r>
        <w:rPr>
          <w:rFonts w:hint="eastAsia" w:ascii="仿宋_GB2312" w:eastAsia="仿宋_GB2312"/>
          <w:sz w:val="28"/>
          <w:szCs w:val="28"/>
        </w:rPr>
        <w:t>%，</w:t>
      </w:r>
      <w:r>
        <w:rPr>
          <w:rFonts w:hint="eastAsia" w:ascii="仿宋_GB2312" w:eastAsia="仿宋_GB2312"/>
          <w:sz w:val="28"/>
          <w:szCs w:val="28"/>
          <w:lang w:eastAsia="zh-CN"/>
        </w:rPr>
        <w:t>其中：授予小微企业合同金额</w:t>
      </w:r>
      <w:r>
        <w:rPr>
          <w:rFonts w:ascii="仿宋_GB2312" w:eastAsia="仿宋_GB2312"/>
          <w:sz w:val="28"/>
          <w:szCs w:val="28"/>
        </w:rPr>
        <w:t>1146.08</w:t>
      </w:r>
      <w:r>
        <w:rPr>
          <w:rFonts w:hint="eastAsia" w:ascii="仿宋_GB2312" w:eastAsia="仿宋_GB2312"/>
          <w:sz w:val="28"/>
          <w:szCs w:val="28"/>
        </w:rPr>
        <w:t>万元，占政府采购支出总额的</w:t>
      </w:r>
      <w:r>
        <w:rPr>
          <w:rFonts w:ascii="仿宋_GB2312" w:eastAsia="仿宋_GB2312"/>
          <w:sz w:val="28"/>
          <w:szCs w:val="28"/>
        </w:rPr>
        <w:t>44.09</w:t>
      </w:r>
      <w:r>
        <w:rPr>
          <w:rFonts w:hint="eastAsia" w:ascii="仿宋_GB2312" w:eastAsia="仿宋_GB2312"/>
          <w:sz w:val="28"/>
          <w:szCs w:val="28"/>
        </w:rPr>
        <w:t>%。</w:t>
      </w:r>
    </w:p>
    <w:p w14:paraId="0258BC4F">
      <w:pPr>
        <w:ind w:firstLine="560" w:firstLineChars="200"/>
        <w:rPr>
          <w:rFonts w:hint="eastAsia" w:ascii="黑体" w:eastAsia="黑体"/>
          <w:sz w:val="28"/>
          <w:szCs w:val="28"/>
          <w:highlight w:val="yellow"/>
        </w:rPr>
      </w:pPr>
      <w:r>
        <w:rPr>
          <w:rFonts w:hint="eastAsia" w:ascii="黑体" w:eastAsia="黑体"/>
          <w:sz w:val="28"/>
          <w:szCs w:val="28"/>
          <w:highlight w:val="none"/>
        </w:rPr>
        <w:t>四、国有资产占用情况</w:t>
      </w:r>
    </w:p>
    <w:p w14:paraId="0AABA1DF">
      <w:pPr>
        <w:ind w:firstLine="560" w:firstLineChars="200"/>
        <w:rPr>
          <w:rFonts w:ascii="仿宋_GB2312" w:eastAsia="仿宋_GB2312"/>
          <w:sz w:val="32"/>
          <w:szCs w:val="32"/>
        </w:rPr>
      </w:pPr>
      <w:r>
        <w:rPr>
          <w:rFonts w:hint="eastAsia" w:ascii="仿宋_GB2312" w:eastAsia="仿宋_GB2312"/>
          <w:sz w:val="28"/>
          <w:szCs w:val="28"/>
          <w:lang w:eastAsia="zh-CN"/>
        </w:rPr>
        <w:t>2025年</w:t>
      </w:r>
      <w:r>
        <w:rPr>
          <w:rFonts w:hint="eastAsia" w:ascii="仿宋_GB2312" w:eastAsia="仿宋_GB2312"/>
          <w:sz w:val="28"/>
          <w:szCs w:val="28"/>
        </w:rPr>
        <w:t>度新购置车辆</w:t>
      </w:r>
      <w:r>
        <w:rPr>
          <w:rFonts w:hint="eastAsia" w:ascii="仿宋_GB2312" w:hAnsi="仿宋_GB2312" w:eastAsia="仿宋_GB2312" w:cs="仿宋_GB2312"/>
          <w:color w:val="auto"/>
          <w:sz w:val="28"/>
          <w:szCs w:val="28"/>
          <w:highlight w:val="none"/>
          <w:lang w:val="en-US" w:eastAsia="zh-CN"/>
        </w:rPr>
        <w:t>0</w:t>
      </w:r>
      <w:r>
        <w:rPr>
          <w:rFonts w:hint="eastAsia" w:ascii="仿宋_GB2312" w:eastAsia="仿宋_GB2312"/>
          <w:sz w:val="28"/>
          <w:szCs w:val="28"/>
        </w:rPr>
        <w:t>台，共计</w:t>
      </w:r>
      <w:r>
        <w:rPr>
          <w:rFonts w:ascii="仿宋_GB2312" w:eastAsia="仿宋_GB2312"/>
          <w:sz w:val="28"/>
          <w:szCs w:val="28"/>
        </w:rPr>
        <w:t>0</w:t>
      </w:r>
      <w:r>
        <w:rPr>
          <w:rFonts w:hint="eastAsia" w:ascii="仿宋_GB2312" w:eastAsia="仿宋_GB2312"/>
          <w:sz w:val="28"/>
          <w:szCs w:val="28"/>
        </w:rPr>
        <w:t>万元；新购置单位价值100万元（含）以上的设备</w:t>
      </w:r>
      <w:r>
        <w:rPr>
          <w:rFonts w:hint="eastAsia" w:ascii="仿宋_GB2312" w:eastAsia="仿宋_GB2312"/>
          <w:sz w:val="28"/>
          <w:szCs w:val="28"/>
          <w:lang w:val="en-US" w:eastAsia="zh-CN"/>
        </w:rPr>
        <w:t>0</w:t>
      </w:r>
      <w:r>
        <w:rPr>
          <w:rFonts w:hint="eastAsia" w:ascii="仿宋_GB2312" w:eastAsia="仿宋_GB2312"/>
          <w:sz w:val="28"/>
          <w:szCs w:val="28"/>
        </w:rPr>
        <w:t>台（套），共计</w:t>
      </w:r>
      <w:r>
        <w:rPr>
          <w:rFonts w:hint="eastAsia" w:ascii="仿宋_GB2312" w:eastAsia="仿宋_GB2312"/>
          <w:sz w:val="28"/>
          <w:szCs w:val="28"/>
          <w:lang w:val="en-US" w:eastAsia="zh-CN"/>
        </w:rPr>
        <w:t>0</w:t>
      </w:r>
      <w:r>
        <w:rPr>
          <w:rFonts w:hint="eastAsia" w:ascii="仿宋_GB2312" w:eastAsia="仿宋_GB2312"/>
          <w:sz w:val="28"/>
          <w:szCs w:val="28"/>
        </w:rPr>
        <w:t>万元。截至12月31日，</w:t>
      </w:r>
      <w:r>
        <w:rPr>
          <w:rFonts w:hint="eastAsia" w:ascii="仿宋_GB2312" w:eastAsia="仿宋_GB2312"/>
          <w:sz w:val="28"/>
          <w:szCs w:val="28"/>
          <w:lang w:eastAsia="zh-CN"/>
        </w:rPr>
        <w:t>陶然亭街道办事处</w:t>
      </w:r>
      <w:r>
        <w:rPr>
          <w:rFonts w:hint="eastAsia" w:ascii="仿宋_GB2312" w:eastAsia="仿宋_GB2312"/>
          <w:sz w:val="28"/>
          <w:szCs w:val="28"/>
        </w:rPr>
        <w:t>共有车辆</w:t>
      </w:r>
      <w:r>
        <w:rPr>
          <w:rFonts w:hint="eastAsia" w:ascii="仿宋_GB2312" w:eastAsia="仿宋_GB2312"/>
          <w:sz w:val="28"/>
          <w:szCs w:val="28"/>
          <w:lang w:val="en-US" w:eastAsia="zh-CN"/>
        </w:rPr>
        <w:t>1</w:t>
      </w:r>
      <w:r>
        <w:rPr>
          <w:rFonts w:hint="eastAsia" w:ascii="仿宋_GB2312" w:eastAsia="仿宋_GB2312"/>
          <w:sz w:val="28"/>
          <w:szCs w:val="28"/>
        </w:rPr>
        <w:t>台，共</w:t>
      </w:r>
      <w:r>
        <w:rPr>
          <w:rFonts w:hint="eastAsia" w:ascii="仿宋_GB2312" w:eastAsia="仿宋_GB2312"/>
          <w:sz w:val="28"/>
          <w:szCs w:val="28"/>
          <w:highlight w:val="none"/>
        </w:rPr>
        <w:t>计</w:t>
      </w:r>
      <w:r>
        <w:rPr>
          <w:rFonts w:hint="eastAsia" w:ascii="仿宋_GB2312" w:eastAsia="仿宋_GB2312"/>
          <w:sz w:val="28"/>
          <w:szCs w:val="28"/>
          <w:highlight w:val="none"/>
          <w:lang w:val="en-US" w:eastAsia="zh-CN"/>
        </w:rPr>
        <w:t>22.98</w:t>
      </w:r>
      <w:r>
        <w:rPr>
          <w:rFonts w:hint="eastAsia" w:ascii="仿宋_GB2312" w:eastAsia="仿宋_GB2312"/>
          <w:sz w:val="28"/>
          <w:szCs w:val="28"/>
          <w:highlight w:val="none"/>
        </w:rPr>
        <w:t>万元；单位价值100万元（</w:t>
      </w:r>
      <w:r>
        <w:rPr>
          <w:rFonts w:hint="eastAsia" w:ascii="仿宋_GB2312" w:eastAsia="仿宋_GB2312"/>
          <w:sz w:val="28"/>
          <w:szCs w:val="28"/>
        </w:rPr>
        <w:t>含）以上的设备</w:t>
      </w:r>
      <w:r>
        <w:rPr>
          <w:rFonts w:hint="eastAsia" w:ascii="仿宋_GB2312" w:eastAsia="仿宋_GB2312"/>
          <w:sz w:val="28"/>
          <w:szCs w:val="28"/>
          <w:lang w:val="en-US" w:eastAsia="zh-CN"/>
        </w:rPr>
        <w:t>0</w:t>
      </w:r>
      <w:r>
        <w:rPr>
          <w:rFonts w:hint="eastAsia" w:ascii="仿宋_GB2312" w:eastAsia="仿宋_GB2312"/>
          <w:sz w:val="28"/>
          <w:szCs w:val="28"/>
        </w:rPr>
        <w:t>台（套），共计</w:t>
      </w:r>
      <w:r>
        <w:rPr>
          <w:rFonts w:hint="eastAsia" w:ascii="仿宋_GB2312" w:eastAsia="仿宋_GB2312"/>
          <w:sz w:val="28"/>
          <w:szCs w:val="28"/>
          <w:lang w:val="en-US" w:eastAsia="zh-CN"/>
        </w:rPr>
        <w:t>0</w:t>
      </w:r>
      <w:r>
        <w:rPr>
          <w:rFonts w:hint="eastAsia" w:ascii="仿宋_GB2312" w:eastAsia="仿宋_GB2312"/>
          <w:sz w:val="28"/>
          <w:szCs w:val="28"/>
        </w:rPr>
        <w:t>万元。</w:t>
      </w:r>
    </w:p>
    <w:p w14:paraId="387D9055">
      <w:pPr>
        <w:ind w:firstLine="560" w:firstLineChars="200"/>
        <w:jc w:val="left"/>
        <w:rPr>
          <w:rFonts w:hint="eastAsia" w:ascii="仿宋_GB2312" w:eastAsia="仿宋_GB2312"/>
          <w:color w:val="000000"/>
          <w:sz w:val="32"/>
          <w:szCs w:val="32"/>
        </w:rPr>
      </w:pPr>
      <w:r>
        <w:rPr>
          <w:rFonts w:hint="eastAsia" w:ascii="黑体" w:eastAsia="黑体"/>
          <w:sz w:val="28"/>
          <w:szCs w:val="28"/>
          <w:lang w:val="en-US" w:eastAsia="zh-CN"/>
        </w:rPr>
        <w:t>五</w:t>
      </w:r>
      <w:r>
        <w:rPr>
          <w:rFonts w:hint="eastAsia" w:ascii="黑体" w:eastAsia="黑体"/>
          <w:sz w:val="28"/>
          <w:szCs w:val="28"/>
        </w:rPr>
        <w:t>、</w:t>
      </w:r>
      <w:r>
        <w:rPr>
          <w:rFonts w:ascii="黑体" w:eastAsia="黑体"/>
          <w:sz w:val="28"/>
          <w:szCs w:val="28"/>
        </w:rPr>
        <w:t>专业名词解释</w:t>
      </w:r>
    </w:p>
    <w:p w14:paraId="5D928071">
      <w:pPr>
        <w:ind w:firstLine="560" w:firstLineChars="200"/>
        <w:rPr>
          <w:rFonts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14:paraId="06F3ACFC">
      <w:pPr>
        <w:ind w:firstLine="560" w:firstLineChars="200"/>
        <w:rPr>
          <w:rFonts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14:paraId="6BA874FC">
      <w:pPr>
        <w:ind w:firstLine="560" w:firstLineChars="200"/>
        <w:rPr>
          <w:rFonts w:ascii="仿宋_GB2312" w:hAnsi="宋体" w:eastAsia="仿宋_GB2312"/>
          <w:sz w:val="28"/>
          <w:szCs w:val="28"/>
        </w:rPr>
      </w:pPr>
      <w:r>
        <w:rPr>
          <w:rFonts w:hint="eastAsia" w:ascii="仿宋_GB2312" w:eastAsia="仿宋_GB2312"/>
          <w:sz w:val="28"/>
          <w:szCs w:val="28"/>
        </w:rPr>
        <w:t>3.“三公”经费：</w:t>
      </w:r>
      <w:r>
        <w:rPr>
          <w:rFonts w:hint="eastAsia" w:ascii="仿宋_GB2312" w:hAnsi="宋体" w:eastAsia="仿宋_GB2312"/>
          <w:sz w:val="28"/>
          <w:szCs w:val="28"/>
        </w:rPr>
        <w:t>是指单位通过财政拨款资金安排的因公出国（境）费、公务接待费</w:t>
      </w:r>
      <w:r>
        <w:rPr>
          <w:rFonts w:hint="eastAsia" w:ascii="仿宋_GB2312" w:hAnsi="宋体" w:eastAsia="仿宋_GB2312"/>
          <w:sz w:val="28"/>
          <w:szCs w:val="28"/>
          <w:lang w:eastAsia="zh-CN"/>
        </w:rPr>
        <w:t>、</w:t>
      </w:r>
      <w:r>
        <w:rPr>
          <w:rFonts w:hint="eastAsia" w:ascii="仿宋_GB2312" w:hAnsi="宋体" w:eastAsia="仿宋_GB2312"/>
          <w:sz w:val="28"/>
          <w:szCs w:val="28"/>
        </w:rPr>
        <w:t>公务用车购置</w:t>
      </w:r>
      <w:r>
        <w:rPr>
          <w:rFonts w:hint="eastAsia" w:ascii="仿宋_GB2312" w:hAnsi="宋体" w:eastAsia="仿宋_GB2312"/>
          <w:sz w:val="28"/>
          <w:szCs w:val="28"/>
          <w:lang w:val="en-US" w:eastAsia="zh-CN"/>
        </w:rPr>
        <w:t>和</w:t>
      </w:r>
      <w:r>
        <w:rPr>
          <w:rFonts w:hint="eastAsia" w:ascii="仿宋_GB2312" w:hAnsi="宋体" w:eastAsia="仿宋_GB2312"/>
          <w:sz w:val="28"/>
          <w:szCs w:val="28"/>
        </w:rPr>
        <w:t>运行</w:t>
      </w:r>
      <w:r>
        <w:rPr>
          <w:rFonts w:hint="eastAsia" w:ascii="仿宋_GB2312" w:hAnsi="宋体" w:eastAsia="仿宋_GB2312"/>
          <w:sz w:val="28"/>
          <w:szCs w:val="28"/>
          <w:lang w:val="en-US" w:eastAsia="zh-CN"/>
        </w:rPr>
        <w:t>维护</w:t>
      </w:r>
      <w:r>
        <w:rPr>
          <w:rFonts w:hint="eastAsia" w:ascii="仿宋_GB2312" w:hAnsi="宋体" w:eastAsia="仿宋_GB2312"/>
          <w:sz w:val="28"/>
          <w:szCs w:val="28"/>
        </w:rPr>
        <w:t>费。</w:t>
      </w:r>
    </w:p>
    <w:p w14:paraId="5E89EA45">
      <w:pPr>
        <w:ind w:firstLine="560" w:firstLineChars="200"/>
        <w:rPr>
          <w:rFonts w:ascii="仿宋_GB2312" w:hAnsi="宋体" w:eastAsia="仿宋_GB2312"/>
          <w:sz w:val="28"/>
          <w:szCs w:val="28"/>
        </w:rPr>
      </w:pPr>
      <w:r>
        <w:rPr>
          <w:rFonts w:hint="eastAsia" w:ascii="仿宋_GB2312" w:eastAsia="仿宋_GB2312"/>
          <w:sz w:val="28"/>
          <w:szCs w:val="28"/>
        </w:rPr>
        <w:t>4</w:t>
      </w:r>
      <w:r>
        <w:rPr>
          <w:rFonts w:ascii="仿宋_GB2312" w:eastAsia="仿宋_GB2312"/>
          <w:sz w:val="28"/>
          <w:szCs w:val="28"/>
        </w:rPr>
        <w:t>.</w:t>
      </w:r>
      <w:r>
        <w:rPr>
          <w:rFonts w:hint="eastAsia" w:ascii="仿宋_GB2312" w:eastAsia="仿宋_GB2312"/>
          <w:sz w:val="28"/>
          <w:szCs w:val="28"/>
        </w:rPr>
        <w:t>机关运行经费：</w:t>
      </w:r>
      <w:r>
        <w:rPr>
          <w:rFonts w:hint="eastAsia" w:ascii="仿宋_GB2312" w:eastAsia="仿宋_GB2312"/>
          <w:sz w:val="28"/>
          <w:szCs w:val="28"/>
          <w:lang w:val="en-US" w:eastAsia="zh-CN"/>
        </w:rPr>
        <w:t>反映行政单位和参照公务员法管理的事业单位财政拨款基本支出中的公用经费支出</w:t>
      </w:r>
      <w:r>
        <w:rPr>
          <w:rFonts w:hint="eastAsia" w:ascii="仿宋_GB2312" w:hAnsi="宋体" w:eastAsia="仿宋_GB2312"/>
          <w:sz w:val="28"/>
          <w:szCs w:val="28"/>
        </w:rPr>
        <w:t>，包括办公</w:t>
      </w:r>
      <w:r>
        <w:rPr>
          <w:rFonts w:hint="default" w:ascii="仿宋_GB2312" w:hAnsi="宋体" w:eastAsia="仿宋_GB2312"/>
          <w:sz w:val="28"/>
          <w:szCs w:val="28"/>
        </w:rPr>
        <w:t>费、</w:t>
      </w:r>
      <w:r>
        <w:rPr>
          <w:rFonts w:hint="eastAsia" w:ascii="仿宋_GB2312" w:hAnsi="宋体" w:eastAsia="仿宋_GB2312"/>
          <w:sz w:val="28"/>
          <w:szCs w:val="28"/>
        </w:rPr>
        <w:t>会议费、</w:t>
      </w:r>
      <w:r>
        <w:rPr>
          <w:rFonts w:hint="default" w:ascii="仿宋_GB2312" w:hAnsi="宋体" w:eastAsia="仿宋_GB2312"/>
          <w:sz w:val="28"/>
          <w:szCs w:val="28"/>
        </w:rPr>
        <w:t>培训</w:t>
      </w:r>
      <w:r>
        <w:rPr>
          <w:rFonts w:hint="eastAsia" w:ascii="仿宋_GB2312" w:hAnsi="宋体" w:eastAsia="仿宋_GB2312"/>
          <w:sz w:val="28"/>
          <w:szCs w:val="28"/>
        </w:rPr>
        <w:t>费、</w:t>
      </w:r>
      <w:r>
        <w:rPr>
          <w:rFonts w:hint="default" w:ascii="仿宋_GB2312" w:hAnsi="宋体" w:eastAsia="仿宋_GB2312"/>
          <w:sz w:val="28"/>
          <w:szCs w:val="28"/>
        </w:rPr>
        <w:t>委托业务</w:t>
      </w:r>
      <w:r>
        <w:rPr>
          <w:rFonts w:hint="eastAsia" w:ascii="仿宋_GB2312" w:hAnsi="宋体" w:eastAsia="仿宋_GB2312"/>
          <w:sz w:val="28"/>
          <w:szCs w:val="28"/>
        </w:rPr>
        <w:t>费、</w:t>
      </w:r>
      <w:r>
        <w:rPr>
          <w:rFonts w:hint="default" w:ascii="仿宋_GB2312" w:hAnsi="宋体" w:eastAsia="仿宋_GB2312"/>
          <w:sz w:val="28"/>
          <w:szCs w:val="28"/>
        </w:rPr>
        <w:t>公务接待</w:t>
      </w:r>
      <w:r>
        <w:rPr>
          <w:rFonts w:hint="eastAsia" w:ascii="仿宋_GB2312" w:hAnsi="宋体" w:eastAsia="仿宋_GB2312"/>
          <w:sz w:val="28"/>
          <w:szCs w:val="28"/>
        </w:rPr>
        <w:t>费、公务用车运行维护费</w:t>
      </w:r>
      <w:r>
        <w:rPr>
          <w:rFonts w:hint="default" w:ascii="仿宋_GB2312" w:hAnsi="宋体" w:eastAsia="仿宋_GB2312"/>
          <w:sz w:val="28"/>
          <w:szCs w:val="28"/>
        </w:rPr>
        <w:t>、维修（护）费</w:t>
      </w:r>
      <w:r>
        <w:rPr>
          <w:rFonts w:hint="eastAsia" w:ascii="仿宋_GB2312" w:hAnsi="宋体" w:eastAsia="仿宋_GB2312"/>
          <w:sz w:val="28"/>
          <w:szCs w:val="28"/>
        </w:rPr>
        <w:t>及其他费用。</w:t>
      </w:r>
    </w:p>
    <w:p w14:paraId="2361EC01">
      <w:pPr>
        <w:ind w:firstLine="420" w:firstLineChars="150"/>
        <w:rPr>
          <w:rFonts w:ascii="仿宋_GB2312" w:eastAsia="仿宋_GB2312"/>
          <w:sz w:val="28"/>
          <w:szCs w:val="28"/>
        </w:rPr>
      </w:pPr>
      <w:r>
        <w:rPr>
          <w:rFonts w:hint="eastAsia" w:ascii="仿宋_GB2312" w:eastAsia="仿宋_GB2312"/>
          <w:sz w:val="28"/>
          <w:szCs w:val="28"/>
        </w:rPr>
        <w:t>5</w:t>
      </w:r>
      <w:r>
        <w:rPr>
          <w:rFonts w:ascii="仿宋_GB2312" w:eastAsia="仿宋_GB2312"/>
          <w:sz w:val="28"/>
          <w:szCs w:val="28"/>
        </w:rPr>
        <w:t>.</w:t>
      </w:r>
      <w:r>
        <w:rPr>
          <w:rFonts w:hint="eastAsia" w:ascii="仿宋_GB2312" w:eastAsia="仿宋_GB2312"/>
          <w:sz w:val="28"/>
          <w:szCs w:val="28"/>
        </w:rPr>
        <w:t>政府采购</w:t>
      </w:r>
      <w:r>
        <w:rPr>
          <w:rFonts w:ascii="仿宋_GB2312" w:eastAsia="仿宋_GB2312"/>
          <w:sz w:val="28"/>
          <w:szCs w:val="28"/>
        </w:rPr>
        <w:t>：</w:t>
      </w:r>
      <w:r>
        <w:rPr>
          <w:rFonts w:hint="eastAsia" w:ascii="仿宋_GB2312" w:eastAsia="仿宋_GB2312"/>
          <w:sz w:val="28"/>
          <w:szCs w:val="28"/>
        </w:rPr>
        <w:t>指</w:t>
      </w:r>
      <w:r>
        <w:rPr>
          <w:rFonts w:ascii="仿宋_GB2312" w:eastAsia="仿宋_GB2312"/>
          <w:sz w:val="28"/>
          <w:szCs w:val="28"/>
        </w:rPr>
        <w:t>各级国家机关、事业单位和团体组织，使用</w:t>
      </w:r>
      <w:r>
        <w:rPr>
          <w:rFonts w:hint="eastAsia" w:ascii="仿宋_GB2312" w:eastAsia="仿宋_GB2312"/>
          <w:sz w:val="28"/>
          <w:szCs w:val="28"/>
        </w:rPr>
        <w:t>财政性</w:t>
      </w:r>
      <w:r>
        <w:rPr>
          <w:rFonts w:ascii="仿宋_GB2312" w:eastAsia="仿宋_GB2312"/>
          <w:sz w:val="28"/>
          <w:szCs w:val="28"/>
        </w:rPr>
        <w:t>资金采购依法制定的集中目录以内的或者采购限额标准以上的货物、工程和服务的行为</w:t>
      </w:r>
      <w:r>
        <w:rPr>
          <w:rFonts w:hint="eastAsia" w:ascii="仿宋_GB2312" w:eastAsia="仿宋_GB2312"/>
          <w:sz w:val="28"/>
          <w:szCs w:val="28"/>
        </w:rPr>
        <w:t>，</w:t>
      </w:r>
      <w:r>
        <w:rPr>
          <w:rFonts w:ascii="仿宋_GB2312" w:eastAsia="仿宋_GB2312"/>
          <w:sz w:val="28"/>
          <w:szCs w:val="28"/>
        </w:rPr>
        <w:t>是规范财政支出管理和强化预算约束的有效措施。</w:t>
      </w:r>
    </w:p>
    <w:p w14:paraId="7D61A1E4">
      <w:pPr>
        <w:ind w:firstLine="420" w:firstLineChars="150"/>
        <w:rPr>
          <w:rFonts w:hint="eastAsia" w:ascii="仿宋_GB2312" w:eastAsia="仿宋_GB2312"/>
          <w:sz w:val="28"/>
          <w:szCs w:val="28"/>
          <w:lang w:eastAsia="zh-CN"/>
        </w:rPr>
      </w:pPr>
      <w:r>
        <w:rPr>
          <w:rFonts w:hint="eastAsia" w:ascii="仿宋_GB2312" w:eastAsia="仿宋_GB2312"/>
          <w:sz w:val="28"/>
          <w:szCs w:val="28"/>
        </w:rPr>
        <w:t>6</w:t>
      </w:r>
      <w:r>
        <w:rPr>
          <w:rFonts w:ascii="仿宋_GB2312" w:eastAsia="仿宋_GB2312"/>
          <w:sz w:val="28"/>
          <w:szCs w:val="28"/>
        </w:rPr>
        <w:t>.政府购买服务：</w:t>
      </w:r>
      <w:r>
        <w:rPr>
          <w:rFonts w:hint="eastAsia" w:ascii="仿宋_GB2312" w:eastAsia="仿宋_GB2312"/>
          <w:sz w:val="28"/>
          <w:szCs w:val="28"/>
        </w:rPr>
        <w:t>指各级国家机关将属于自身职责范围且适合通过市场化方式提供的服务事项，按照政府采购方式和程序，交由符合条件的服务供应商承担，并根据服务数量和质量等因素向其支付费用的行为</w:t>
      </w:r>
      <w:r>
        <w:rPr>
          <w:rFonts w:hint="eastAsia" w:ascii="仿宋_GB2312" w:eastAsia="仿宋_GB2312"/>
          <w:sz w:val="28"/>
          <w:szCs w:val="28"/>
          <w:lang w:eastAsia="zh-CN"/>
        </w:rPr>
        <w:t>。</w:t>
      </w:r>
    </w:p>
    <w:p w14:paraId="49C90668">
      <w:pPr>
        <w:ind w:firstLine="640" w:firstLineChars="200"/>
        <w:jc w:val="center"/>
        <w:rPr>
          <w:rFonts w:hint="eastAsia" w:ascii="黑体" w:eastAsia="黑体"/>
          <w:sz w:val="32"/>
          <w:szCs w:val="32"/>
        </w:rPr>
      </w:pPr>
    </w:p>
    <w:p w14:paraId="393B694C">
      <w:pPr>
        <w:ind w:firstLine="640" w:firstLineChars="200"/>
        <w:jc w:val="center"/>
        <w:rPr>
          <w:rFonts w:ascii="黑体" w:eastAsia="黑体"/>
          <w:sz w:val="28"/>
          <w:szCs w:val="28"/>
          <w:highlight w:val="yellow"/>
        </w:rPr>
      </w:pPr>
      <w:bookmarkStart w:id="18" w:name="_GoBack"/>
      <w:bookmarkEnd w:id="18"/>
      <w:r>
        <w:rPr>
          <w:rFonts w:hint="eastAsia" w:ascii="黑体" w:eastAsia="黑体"/>
          <w:sz w:val="32"/>
          <w:szCs w:val="32"/>
        </w:rPr>
        <w:t xml:space="preserve">第四部分  </w:t>
      </w:r>
      <w:r>
        <w:rPr>
          <w:rFonts w:hint="eastAsia" w:ascii="黑体" w:eastAsia="黑体"/>
          <w:sz w:val="32"/>
          <w:szCs w:val="32"/>
          <w:lang w:eastAsia="zh-CN"/>
        </w:rPr>
        <w:t>2025年</w:t>
      </w:r>
      <w:r>
        <w:rPr>
          <w:rFonts w:hint="eastAsia" w:ascii="黑体" w:eastAsia="黑体"/>
          <w:sz w:val="32"/>
          <w:szCs w:val="32"/>
        </w:rPr>
        <w:t>度部门绩效评价情况</w:t>
      </w:r>
    </w:p>
    <w:p w14:paraId="0C64366E">
      <w:pPr>
        <w:numPr>
          <w:ilvl w:val="0"/>
          <w:numId w:val="1"/>
        </w:numPr>
        <w:ind w:firstLine="560" w:firstLineChars="200"/>
        <w:rPr>
          <w:rFonts w:hint="eastAsia" w:ascii="黑体" w:eastAsia="黑体"/>
          <w:sz w:val="28"/>
          <w:szCs w:val="28"/>
        </w:rPr>
      </w:pPr>
      <w:r>
        <w:rPr>
          <w:rFonts w:hint="eastAsia" w:ascii="黑体" w:eastAsia="黑体"/>
          <w:sz w:val="28"/>
          <w:szCs w:val="28"/>
        </w:rPr>
        <w:t>部门整体绩效评价报告</w:t>
      </w:r>
      <w:r>
        <w:rPr>
          <w:rFonts w:hint="eastAsia" w:ascii="黑体" w:eastAsia="黑体"/>
          <w:sz w:val="28"/>
          <w:szCs w:val="28"/>
          <w:lang w:eastAsia="zh-CN"/>
        </w:rPr>
        <w:t>（详见附件）</w:t>
      </w:r>
    </w:p>
    <w:p w14:paraId="2FFCC4B1">
      <w:pPr>
        <w:ind w:firstLine="560" w:firstLineChars="200"/>
        <w:rPr>
          <w:rFonts w:hint="eastAsia" w:ascii="仿宋_GB2312" w:hAnsi="宋体" w:eastAsia="仿宋_GB2312"/>
          <w:sz w:val="28"/>
          <w:szCs w:val="28"/>
        </w:rPr>
      </w:pPr>
      <w:r>
        <w:rPr>
          <w:rFonts w:hint="eastAsia" w:ascii="仿宋_GB2312" w:hAnsi="宋体" w:eastAsia="仿宋_GB2312"/>
          <w:sz w:val="28"/>
          <w:szCs w:val="28"/>
        </w:rPr>
        <w:t>202</w:t>
      </w:r>
      <w:r>
        <w:rPr>
          <w:rFonts w:hint="eastAsia" w:ascii="仿宋_GB2312" w:hAnsi="宋体" w:eastAsia="仿宋_GB2312"/>
          <w:sz w:val="28"/>
          <w:szCs w:val="28"/>
          <w:lang w:val="en-US" w:eastAsia="zh-CN"/>
        </w:rPr>
        <w:t>5</w:t>
      </w:r>
      <w:r>
        <w:rPr>
          <w:rFonts w:hint="eastAsia" w:ascii="仿宋_GB2312" w:hAnsi="宋体" w:eastAsia="仿宋_GB2312"/>
          <w:sz w:val="28"/>
          <w:szCs w:val="28"/>
        </w:rPr>
        <w:t>年年初预算批复数</w:t>
      </w:r>
      <w:r>
        <w:rPr>
          <w:rFonts w:hint="eastAsia" w:ascii="仿宋_GB2312" w:hAnsi="宋体" w:eastAsia="仿宋_GB2312"/>
          <w:sz w:val="28"/>
          <w:szCs w:val="28"/>
          <w:lang w:val="en-US" w:eastAsia="zh-CN"/>
        </w:rPr>
        <w:t>22</w:t>
      </w:r>
      <w:r>
        <w:rPr>
          <w:rFonts w:hint="eastAsia" w:ascii="仿宋_GB2312" w:hAnsi="宋体" w:eastAsia="仿宋_GB2312"/>
          <w:sz w:val="28"/>
          <w:szCs w:val="28"/>
        </w:rPr>
        <w:t>,</w:t>
      </w:r>
      <w:r>
        <w:rPr>
          <w:rFonts w:hint="eastAsia" w:ascii="仿宋_GB2312" w:hAnsi="宋体" w:eastAsia="仿宋_GB2312"/>
          <w:sz w:val="28"/>
          <w:szCs w:val="28"/>
          <w:lang w:val="en-US" w:eastAsia="zh-CN"/>
        </w:rPr>
        <w:t>260</w:t>
      </w:r>
      <w:r>
        <w:rPr>
          <w:rFonts w:hint="eastAsia" w:ascii="仿宋_GB2312" w:hAnsi="宋体" w:eastAsia="仿宋_GB2312"/>
          <w:sz w:val="28"/>
          <w:szCs w:val="28"/>
        </w:rPr>
        <w:t>.</w:t>
      </w:r>
      <w:r>
        <w:rPr>
          <w:rFonts w:hint="eastAsia" w:ascii="仿宋_GB2312" w:hAnsi="宋体" w:eastAsia="仿宋_GB2312"/>
          <w:sz w:val="28"/>
          <w:szCs w:val="28"/>
          <w:lang w:val="en-US" w:eastAsia="zh-CN"/>
        </w:rPr>
        <w:t>46</w:t>
      </w:r>
      <w:r>
        <w:rPr>
          <w:rFonts w:hint="eastAsia" w:ascii="仿宋_GB2312" w:hAnsi="宋体" w:eastAsia="仿宋_GB2312"/>
          <w:sz w:val="28"/>
          <w:szCs w:val="28"/>
        </w:rPr>
        <w:t>万元，其中：基本支出6,615.6</w:t>
      </w:r>
      <w:r>
        <w:rPr>
          <w:rFonts w:hint="eastAsia" w:ascii="仿宋_GB2312" w:hAnsi="宋体" w:eastAsia="仿宋_GB2312"/>
          <w:sz w:val="28"/>
          <w:szCs w:val="28"/>
          <w:lang w:val="en-US" w:eastAsia="zh-CN"/>
        </w:rPr>
        <w:t>1</w:t>
      </w:r>
      <w:r>
        <w:rPr>
          <w:rFonts w:hint="eastAsia" w:ascii="仿宋_GB2312" w:hAnsi="宋体" w:eastAsia="仿宋_GB2312"/>
          <w:sz w:val="28"/>
          <w:szCs w:val="28"/>
        </w:rPr>
        <w:t>万元、项目支出15,644.85万元；全年预算数22</w:t>
      </w:r>
      <w:r>
        <w:rPr>
          <w:rFonts w:hint="eastAsia" w:ascii="仿宋_GB2312" w:hAnsi="宋体" w:eastAsia="仿宋_GB2312"/>
          <w:sz w:val="28"/>
          <w:szCs w:val="28"/>
          <w:lang w:val="en-US" w:eastAsia="zh-CN"/>
        </w:rPr>
        <w:t>,984.</w:t>
      </w:r>
      <w:r>
        <w:rPr>
          <w:rFonts w:hint="eastAsia" w:ascii="仿宋_GB2312" w:hAnsi="宋体" w:eastAsia="仿宋_GB2312"/>
          <w:sz w:val="28"/>
          <w:szCs w:val="28"/>
        </w:rPr>
        <w:t>01万元，其中，基本支出预算数6,</w:t>
      </w:r>
      <w:r>
        <w:rPr>
          <w:rFonts w:hint="eastAsia" w:ascii="仿宋_GB2312" w:hAnsi="宋体" w:eastAsia="仿宋_GB2312"/>
          <w:sz w:val="28"/>
          <w:szCs w:val="28"/>
          <w:lang w:val="en-US" w:eastAsia="zh-CN"/>
        </w:rPr>
        <w:t>952</w:t>
      </w:r>
      <w:r>
        <w:rPr>
          <w:rFonts w:hint="eastAsia" w:ascii="仿宋_GB2312" w:hAnsi="宋体" w:eastAsia="仿宋_GB2312"/>
          <w:sz w:val="28"/>
          <w:szCs w:val="28"/>
        </w:rPr>
        <w:t>.</w:t>
      </w:r>
      <w:r>
        <w:rPr>
          <w:rFonts w:hint="eastAsia" w:ascii="仿宋_GB2312" w:hAnsi="宋体" w:eastAsia="仿宋_GB2312"/>
          <w:sz w:val="28"/>
          <w:szCs w:val="28"/>
          <w:lang w:val="en-US" w:eastAsia="zh-CN"/>
        </w:rPr>
        <w:t>03</w:t>
      </w:r>
      <w:r>
        <w:rPr>
          <w:rFonts w:hint="eastAsia" w:ascii="仿宋_GB2312" w:hAnsi="宋体" w:eastAsia="仿宋_GB2312"/>
          <w:sz w:val="28"/>
          <w:szCs w:val="28"/>
        </w:rPr>
        <w:t>万元、项目支出预算数1</w:t>
      </w:r>
      <w:r>
        <w:rPr>
          <w:rFonts w:hint="eastAsia" w:ascii="仿宋_GB2312" w:hAnsi="宋体" w:eastAsia="仿宋_GB2312"/>
          <w:sz w:val="28"/>
          <w:szCs w:val="28"/>
          <w:lang w:val="en-US" w:eastAsia="zh-CN"/>
        </w:rPr>
        <w:t>5</w:t>
      </w:r>
      <w:r>
        <w:rPr>
          <w:rFonts w:hint="eastAsia" w:ascii="仿宋_GB2312" w:hAnsi="宋体" w:eastAsia="仿宋_GB2312"/>
          <w:sz w:val="28"/>
          <w:szCs w:val="28"/>
        </w:rPr>
        <w:t>,</w:t>
      </w:r>
      <w:r>
        <w:rPr>
          <w:rFonts w:hint="eastAsia" w:ascii="仿宋_GB2312" w:hAnsi="宋体" w:eastAsia="仿宋_GB2312"/>
          <w:sz w:val="28"/>
          <w:szCs w:val="28"/>
          <w:lang w:val="en-US" w:eastAsia="zh-CN"/>
        </w:rPr>
        <w:t>995</w:t>
      </w:r>
      <w:r>
        <w:rPr>
          <w:rFonts w:hint="eastAsia" w:ascii="仿宋_GB2312" w:hAnsi="宋体" w:eastAsia="仿宋_GB2312"/>
          <w:sz w:val="28"/>
          <w:szCs w:val="28"/>
        </w:rPr>
        <w:t>.</w:t>
      </w:r>
      <w:r>
        <w:rPr>
          <w:rFonts w:hint="eastAsia" w:ascii="仿宋_GB2312" w:hAnsi="宋体" w:eastAsia="仿宋_GB2312"/>
          <w:sz w:val="28"/>
          <w:szCs w:val="28"/>
          <w:lang w:val="en-US" w:eastAsia="zh-CN"/>
        </w:rPr>
        <w:t>98</w:t>
      </w:r>
      <w:r>
        <w:rPr>
          <w:rFonts w:hint="eastAsia" w:ascii="仿宋_GB2312" w:hAnsi="宋体" w:eastAsia="仿宋_GB2312"/>
          <w:sz w:val="28"/>
          <w:szCs w:val="28"/>
        </w:rPr>
        <w:t>万元；资金总体支出22</w:t>
      </w:r>
      <w:r>
        <w:rPr>
          <w:rFonts w:hint="eastAsia" w:ascii="仿宋_GB2312" w:hAnsi="宋体" w:eastAsia="仿宋_GB2312"/>
          <w:sz w:val="28"/>
          <w:szCs w:val="28"/>
          <w:lang w:val="en-US" w:eastAsia="zh-CN"/>
        </w:rPr>
        <w:t>,</w:t>
      </w:r>
      <w:r>
        <w:rPr>
          <w:rFonts w:hint="eastAsia" w:ascii="仿宋_GB2312" w:hAnsi="宋体" w:eastAsia="仿宋_GB2312"/>
          <w:sz w:val="28"/>
          <w:szCs w:val="28"/>
        </w:rPr>
        <w:t>385</w:t>
      </w:r>
      <w:r>
        <w:rPr>
          <w:rFonts w:hint="eastAsia" w:ascii="仿宋_GB2312" w:hAnsi="宋体" w:eastAsia="仿宋_GB2312"/>
          <w:sz w:val="28"/>
          <w:szCs w:val="28"/>
          <w:lang w:val="en-US" w:eastAsia="zh-CN"/>
        </w:rPr>
        <w:t>.</w:t>
      </w:r>
      <w:r>
        <w:rPr>
          <w:rFonts w:hint="eastAsia" w:ascii="仿宋_GB2312" w:hAnsi="宋体" w:eastAsia="仿宋_GB2312"/>
          <w:sz w:val="28"/>
          <w:szCs w:val="28"/>
        </w:rPr>
        <w:t>01万元，其中，基本支出6,</w:t>
      </w:r>
      <w:r>
        <w:rPr>
          <w:rFonts w:hint="eastAsia" w:ascii="仿宋_GB2312" w:hAnsi="宋体" w:eastAsia="仿宋_GB2312"/>
          <w:sz w:val="28"/>
          <w:szCs w:val="28"/>
          <w:lang w:val="en-US" w:eastAsia="zh-CN"/>
        </w:rPr>
        <w:t>844</w:t>
      </w:r>
      <w:r>
        <w:rPr>
          <w:rFonts w:hint="eastAsia" w:ascii="仿宋_GB2312" w:hAnsi="宋体" w:eastAsia="仿宋_GB2312"/>
          <w:sz w:val="28"/>
          <w:szCs w:val="28"/>
        </w:rPr>
        <w:t>.</w:t>
      </w:r>
      <w:r>
        <w:rPr>
          <w:rFonts w:hint="eastAsia" w:ascii="仿宋_GB2312" w:hAnsi="宋体" w:eastAsia="仿宋_GB2312"/>
          <w:sz w:val="28"/>
          <w:szCs w:val="28"/>
          <w:lang w:val="en-US" w:eastAsia="zh-CN"/>
        </w:rPr>
        <w:t>84</w:t>
      </w:r>
      <w:r>
        <w:rPr>
          <w:rFonts w:hint="eastAsia" w:ascii="仿宋_GB2312" w:hAnsi="宋体" w:eastAsia="仿宋_GB2312"/>
          <w:sz w:val="28"/>
          <w:szCs w:val="28"/>
        </w:rPr>
        <w:t>万元、项目支出1</w:t>
      </w:r>
      <w:r>
        <w:rPr>
          <w:rFonts w:hint="eastAsia" w:ascii="仿宋_GB2312" w:hAnsi="宋体" w:eastAsia="仿宋_GB2312"/>
          <w:sz w:val="28"/>
          <w:szCs w:val="28"/>
          <w:lang w:val="en-US" w:eastAsia="zh-CN"/>
        </w:rPr>
        <w:t>5</w:t>
      </w:r>
      <w:r>
        <w:rPr>
          <w:rFonts w:hint="eastAsia" w:ascii="仿宋_GB2312" w:hAnsi="宋体" w:eastAsia="仿宋_GB2312"/>
          <w:sz w:val="28"/>
          <w:szCs w:val="28"/>
        </w:rPr>
        <w:t>,5</w:t>
      </w:r>
      <w:r>
        <w:rPr>
          <w:rFonts w:hint="eastAsia" w:ascii="仿宋_GB2312" w:hAnsi="宋体" w:eastAsia="仿宋_GB2312"/>
          <w:sz w:val="28"/>
          <w:szCs w:val="28"/>
          <w:lang w:val="en-US" w:eastAsia="zh-CN"/>
        </w:rPr>
        <w:t>4</w:t>
      </w:r>
      <w:r>
        <w:rPr>
          <w:rFonts w:hint="eastAsia" w:ascii="仿宋_GB2312" w:hAnsi="宋体" w:eastAsia="仿宋_GB2312"/>
          <w:sz w:val="28"/>
          <w:szCs w:val="28"/>
        </w:rPr>
        <w:t>0.</w:t>
      </w:r>
      <w:r>
        <w:rPr>
          <w:rFonts w:hint="eastAsia" w:ascii="仿宋_GB2312" w:hAnsi="宋体" w:eastAsia="仿宋_GB2312"/>
          <w:sz w:val="28"/>
          <w:szCs w:val="28"/>
          <w:lang w:val="en-US" w:eastAsia="zh-CN"/>
        </w:rPr>
        <w:t>17</w:t>
      </w:r>
      <w:r>
        <w:rPr>
          <w:rFonts w:hint="eastAsia" w:ascii="仿宋_GB2312" w:hAnsi="宋体" w:eastAsia="仿宋_GB2312"/>
          <w:sz w:val="28"/>
          <w:szCs w:val="28"/>
        </w:rPr>
        <w:t>万元。预算执行率为9</w:t>
      </w:r>
      <w:r>
        <w:rPr>
          <w:rFonts w:hint="eastAsia" w:ascii="仿宋_GB2312" w:hAnsi="宋体" w:eastAsia="仿宋_GB2312"/>
          <w:sz w:val="28"/>
          <w:szCs w:val="28"/>
          <w:lang w:val="en-US" w:eastAsia="zh-CN"/>
        </w:rPr>
        <w:t>7</w:t>
      </w:r>
      <w:r>
        <w:rPr>
          <w:rFonts w:hint="eastAsia" w:ascii="仿宋_GB2312" w:hAnsi="宋体" w:eastAsia="仿宋_GB2312"/>
          <w:sz w:val="28"/>
          <w:szCs w:val="28"/>
        </w:rPr>
        <w:t>.</w:t>
      </w:r>
      <w:r>
        <w:rPr>
          <w:rFonts w:hint="eastAsia" w:ascii="仿宋_GB2312" w:hAnsi="宋体" w:eastAsia="仿宋_GB2312"/>
          <w:sz w:val="28"/>
          <w:szCs w:val="28"/>
          <w:lang w:val="en-US" w:eastAsia="zh-CN"/>
        </w:rPr>
        <w:t>55</w:t>
      </w:r>
      <w:r>
        <w:rPr>
          <w:rFonts w:hint="eastAsia" w:ascii="仿宋_GB2312" w:hAnsi="宋体" w:eastAsia="仿宋_GB2312"/>
          <w:sz w:val="28"/>
          <w:szCs w:val="28"/>
        </w:rPr>
        <w:t>%。</w:t>
      </w:r>
    </w:p>
    <w:p w14:paraId="74445541">
      <w:pPr>
        <w:ind w:firstLine="560" w:firstLineChars="200"/>
        <w:rPr>
          <w:rFonts w:hint="default" w:ascii="仿宋_GB2312" w:hAnsi="宋体" w:eastAsia="仿宋_GB2312"/>
          <w:sz w:val="28"/>
          <w:szCs w:val="28"/>
          <w:lang w:val="en-US" w:eastAsia="zh-CN"/>
        </w:rPr>
      </w:pPr>
      <w:r>
        <w:rPr>
          <w:rFonts w:hint="default" w:ascii="仿宋_GB2312" w:hAnsi="宋体" w:eastAsia="仿宋_GB2312"/>
          <w:sz w:val="28"/>
          <w:szCs w:val="28"/>
          <w:lang w:val="en-US" w:eastAsia="zh-CN"/>
        </w:rPr>
        <w:t>陶然亭街道办事处重视绩效管理工作，明确落实各科室绩效管理职责，通过全过程绩效监控管理，深入分析单位预算管理、绩效目标运行等情况。202</w:t>
      </w:r>
      <w:r>
        <w:rPr>
          <w:rFonts w:hint="eastAsia" w:ascii="仿宋_GB2312" w:hAnsi="宋体" w:eastAsia="仿宋_GB2312"/>
          <w:sz w:val="28"/>
          <w:szCs w:val="28"/>
          <w:lang w:val="en-US" w:eastAsia="zh-CN"/>
        </w:rPr>
        <w:t>5</w:t>
      </w:r>
      <w:r>
        <w:rPr>
          <w:rFonts w:hint="default" w:ascii="仿宋_GB2312" w:hAnsi="宋体" w:eastAsia="仿宋_GB2312"/>
          <w:sz w:val="28"/>
          <w:szCs w:val="28"/>
          <w:lang w:val="en-US" w:eastAsia="zh-CN"/>
        </w:rPr>
        <w:t>年度所有预算项目均填报绩效目标，推进重点项目资金事前绩效评估，并按照工作进度，开展绩效目标运行监控、成本预算绩效分析、绩效自评等预算绩效管理工作，并注重事后监督，强化单位绩效管理和支出成本控制，做到绩效运行监控全覆盖。</w:t>
      </w:r>
    </w:p>
    <w:p w14:paraId="1A109F3D">
      <w:pPr>
        <w:ind w:firstLine="420" w:firstLineChars="150"/>
        <w:rPr>
          <w:rFonts w:ascii="仿宋_GB2312" w:eastAsia="仿宋_GB2312"/>
          <w:sz w:val="28"/>
          <w:szCs w:val="28"/>
        </w:rPr>
      </w:pPr>
      <w:r>
        <w:rPr>
          <w:rFonts w:hint="eastAsia" w:ascii="仿宋_GB2312" w:eastAsia="仿宋_GB2312"/>
          <w:sz w:val="28"/>
          <w:szCs w:val="28"/>
        </w:rPr>
        <w:t>（一）产出完成情况分析</w:t>
      </w:r>
    </w:p>
    <w:p w14:paraId="6938372C">
      <w:pPr>
        <w:ind w:firstLine="560" w:firstLineChars="200"/>
        <w:rPr>
          <w:rFonts w:ascii="仿宋_GB2312" w:eastAsia="仿宋_GB2312"/>
          <w:sz w:val="28"/>
          <w:szCs w:val="28"/>
        </w:rPr>
      </w:pPr>
      <w:r>
        <w:rPr>
          <w:rFonts w:hint="eastAsia" w:ascii="仿宋_GB2312" w:eastAsia="仿宋_GB2312"/>
          <w:sz w:val="28"/>
          <w:szCs w:val="28"/>
        </w:rPr>
        <w:t>1.产出数量</w:t>
      </w:r>
    </w:p>
    <w:p w14:paraId="37FCFC18">
      <w:pPr>
        <w:ind w:firstLine="560" w:firstLineChars="200"/>
        <w:rPr>
          <w:rFonts w:ascii="仿宋_GB2312" w:eastAsia="仿宋_GB2312"/>
          <w:sz w:val="28"/>
          <w:szCs w:val="28"/>
        </w:rPr>
      </w:pPr>
      <w:r>
        <w:rPr>
          <w:rFonts w:hint="eastAsia" w:ascii="仿宋_GB2312" w:eastAsia="仿宋_GB2312"/>
          <w:sz w:val="28"/>
          <w:szCs w:val="28"/>
        </w:rPr>
        <w:t>陶然亭街道办事处压实预算绩效管理职责</w:t>
      </w:r>
      <w:r>
        <w:rPr>
          <w:rFonts w:hint="eastAsia" w:ascii="仿宋_GB2312" w:eastAsia="仿宋_GB2312"/>
          <w:sz w:val="28"/>
          <w:szCs w:val="28"/>
          <w:lang w:eastAsia="zh-CN"/>
        </w:rPr>
        <w:t>，</w:t>
      </w:r>
      <w:r>
        <w:rPr>
          <w:rFonts w:hint="eastAsia" w:ascii="仿宋_GB2312" w:eastAsia="仿宋_GB2312"/>
          <w:sz w:val="28"/>
          <w:szCs w:val="28"/>
        </w:rPr>
        <w:t>以首善标准推动各项任务落地见效</w:t>
      </w:r>
      <w:r>
        <w:rPr>
          <w:rFonts w:hint="eastAsia" w:ascii="仿宋_GB2312" w:eastAsia="仿宋_GB2312"/>
          <w:sz w:val="28"/>
          <w:szCs w:val="28"/>
          <w:lang w:eastAsia="zh-CN"/>
        </w:rPr>
        <w:t>，</w:t>
      </w:r>
      <w:r>
        <w:rPr>
          <w:rFonts w:hint="eastAsia" w:ascii="仿宋_GB2312" w:eastAsia="仿宋_GB2312"/>
          <w:sz w:val="28"/>
          <w:szCs w:val="28"/>
        </w:rPr>
        <w:t>确保各项工作任务及时完成。</w:t>
      </w:r>
      <w:r>
        <w:rPr>
          <w:rFonts w:hint="eastAsia" w:ascii="仿宋_GB2312" w:eastAsia="仿宋_GB2312"/>
          <w:sz w:val="28"/>
          <w:szCs w:val="28"/>
          <w:lang w:val="en-US" w:eastAsia="zh-CN"/>
        </w:rPr>
        <w:t>本年度接诉即办累计办理各类案件6209件，同比增加32.47%，在全区年度综合考核中位列第3名，组织安全宣传中心讲解、组织活动、培训、设备维护等运营工作100场，全面普及安全知识，提升全民安全意识及自救互救能力；积极推进法治陶然建设，开展法律宣传、法律服务、人民调解、法治培训等各项司法工作410次；辖区内绿化养护面积达84,553.70平方米，累计补植更换黄杨4700余株；提升公共服务效率，优化人员配置结构，完成政务服务综合窗口办件量50314件；检修辖区内干粉灭火器2522个；在街道辖区垃圾分类全覆盖工作基础上，对辖区内175组桶站、10座驿站进行日常桶站值守；清运无主垃圾1197车；</w:t>
      </w:r>
      <w:r>
        <w:rPr>
          <w:rFonts w:hint="eastAsia" w:ascii="仿宋_GB2312" w:eastAsia="仿宋_GB2312"/>
          <w:sz w:val="28"/>
          <w:szCs w:val="28"/>
        </w:rPr>
        <w:t>制定企业大走访工作方案，按照区财源专班走访任务要求，累计走访市区重点企业</w:t>
      </w:r>
      <w:r>
        <w:rPr>
          <w:rFonts w:hint="eastAsia" w:ascii="仿宋_GB2312" w:eastAsia="仿宋_GB2312"/>
          <w:sz w:val="28"/>
          <w:szCs w:val="28"/>
          <w:lang w:val="en-US" w:eastAsia="zh-CN"/>
        </w:rPr>
        <w:t>106</w:t>
      </w:r>
      <w:r>
        <w:rPr>
          <w:rFonts w:hint="eastAsia" w:ascii="仿宋_GB2312" w:eastAsia="仿宋_GB2312"/>
          <w:sz w:val="28"/>
          <w:szCs w:val="28"/>
        </w:rPr>
        <w:t>家</w:t>
      </w:r>
      <w:r>
        <w:rPr>
          <w:rFonts w:hint="eastAsia" w:ascii="仿宋_GB2312" w:eastAsia="仿宋_GB2312"/>
          <w:sz w:val="28"/>
          <w:szCs w:val="28"/>
          <w:lang w:eastAsia="zh-CN"/>
        </w:rPr>
        <w:t>；</w:t>
      </w:r>
      <w:r>
        <w:rPr>
          <w:rFonts w:hint="eastAsia" w:ascii="仿宋_GB2312" w:eastAsia="仿宋_GB2312"/>
          <w:sz w:val="28"/>
          <w:szCs w:val="28"/>
          <w:lang w:val="en-US" w:eastAsia="zh-CN"/>
        </w:rPr>
        <w:t>新增电动车车棚6处、充电桩300个，有效缓解充电难题，完成13栋大屋脊住宅楼消防改造，为8个单元加装楼宇对讲，切实保障居民居住安全。</w:t>
      </w:r>
    </w:p>
    <w:p w14:paraId="4938D9ED">
      <w:pPr>
        <w:ind w:firstLine="560" w:firstLineChars="200"/>
        <w:rPr>
          <w:rFonts w:ascii="仿宋_GB2312" w:eastAsia="仿宋_GB2312"/>
          <w:sz w:val="28"/>
          <w:szCs w:val="28"/>
        </w:rPr>
      </w:pPr>
      <w:r>
        <w:rPr>
          <w:rFonts w:hint="eastAsia" w:ascii="仿宋_GB2312" w:eastAsia="仿宋_GB2312"/>
          <w:sz w:val="28"/>
          <w:szCs w:val="28"/>
        </w:rPr>
        <w:t>2.产出</w:t>
      </w:r>
      <w:r>
        <w:rPr>
          <w:rFonts w:ascii="仿宋_GB2312" w:eastAsia="仿宋_GB2312"/>
          <w:sz w:val="28"/>
          <w:szCs w:val="28"/>
        </w:rPr>
        <w:t>质量</w:t>
      </w:r>
    </w:p>
    <w:p w14:paraId="12AD3C33">
      <w:pPr>
        <w:ind w:firstLine="560" w:firstLineChars="200"/>
        <w:rPr>
          <w:rFonts w:hint="default" w:ascii="仿宋_GB2312" w:eastAsia="仿宋_GB2312"/>
          <w:sz w:val="28"/>
          <w:szCs w:val="28"/>
          <w:lang w:val="en-US"/>
        </w:rPr>
      </w:pPr>
      <w:r>
        <w:rPr>
          <w:rFonts w:hint="eastAsia" w:ascii="仿宋_GB2312" w:eastAsia="仿宋_GB2312"/>
          <w:sz w:val="28"/>
          <w:szCs w:val="28"/>
        </w:rPr>
        <w:t>陶然亭街道办事处202</w:t>
      </w:r>
      <w:r>
        <w:rPr>
          <w:rFonts w:hint="eastAsia" w:ascii="仿宋_GB2312" w:eastAsia="仿宋_GB2312"/>
          <w:sz w:val="28"/>
          <w:szCs w:val="28"/>
          <w:lang w:val="en-US" w:eastAsia="zh-CN"/>
        </w:rPr>
        <w:t>5</w:t>
      </w:r>
      <w:r>
        <w:rPr>
          <w:rFonts w:hint="eastAsia" w:ascii="仿宋_GB2312" w:eastAsia="仿宋_GB2312"/>
          <w:sz w:val="28"/>
          <w:szCs w:val="28"/>
        </w:rPr>
        <w:t>年坚守自身职能职责，按照年初制定的工作计划，狠抓过程管理和目标管理，稳打稳扎开展各项工作。政治建设方面，打造“红亭向阳 陶然聚治”</w:t>
      </w:r>
      <w:r>
        <w:rPr>
          <w:rFonts w:hint="eastAsia" w:ascii="仿宋_GB2312" w:eastAsia="仿宋_GB2312"/>
          <w:sz w:val="28"/>
          <w:szCs w:val="28"/>
          <w:lang w:val="en-US" w:eastAsia="zh-CN"/>
        </w:rPr>
        <w:t>党建品牌，</w:t>
      </w:r>
      <w:r>
        <w:rPr>
          <w:rFonts w:hint="eastAsia" w:ascii="仿宋_GB2312" w:eastAsia="仿宋_GB2312"/>
          <w:sz w:val="28"/>
          <w:szCs w:val="28"/>
        </w:rPr>
        <w:t>以“五聚五治”机制实施18项攻坚举措，推动党建与治理深度融合；建成全区首家公园主题亭畔党群服务中心，获评市级示范点</w:t>
      </w:r>
      <w:r>
        <w:rPr>
          <w:rFonts w:hint="eastAsia" w:ascii="仿宋_GB2312" w:eastAsia="仿宋_GB2312"/>
          <w:sz w:val="28"/>
          <w:szCs w:val="28"/>
          <w:lang w:eastAsia="zh-CN"/>
        </w:rPr>
        <w:t>；</w:t>
      </w:r>
      <w:r>
        <w:rPr>
          <w:rFonts w:hint="eastAsia" w:ascii="仿宋_GB2312" w:eastAsia="仿宋_GB2312"/>
          <w:sz w:val="28"/>
          <w:szCs w:val="28"/>
        </w:rPr>
        <w:t>城市运行方面，实体化运行街道综治中心，出台全区首个社区延伸运行方案，建立三级矛盾化解机制，矛盾化解率同比增长2.33%，热线月均诉求量下降18.49%；完成13栋大屋脊住宅楼消防改造，为8个单元安装楼宇对讲系统。扎实推进安全生产治本攻坚三年行动，核心指标完成率均达100%；城市品质建设方面，全力保障大吉片项目建设，班子包户助推30户居民拆迁，完成梁启超故居最后一户强执</w:t>
      </w:r>
      <w:r>
        <w:rPr>
          <w:rFonts w:hint="eastAsia" w:ascii="仿宋_GB2312" w:eastAsia="仿宋_GB2312"/>
          <w:sz w:val="28"/>
          <w:szCs w:val="28"/>
          <w:lang w:eastAsia="zh-CN"/>
        </w:rPr>
        <w:t>；突破完成北纬路占压道路红线二十余年的房屋拆除，成为全区首个“裁执分离”成功案例，陶然亭路征收、珠朝街建设取得实质性进展。</w:t>
      </w:r>
      <w:r>
        <w:rPr>
          <w:rFonts w:hint="eastAsia" w:ascii="仿宋_GB2312" w:eastAsia="仿宋_GB2312"/>
          <w:sz w:val="28"/>
          <w:szCs w:val="28"/>
        </w:rPr>
        <w:t>民生保障方面，推动“陶然颐养”养老服务中心提质增效，打造“五联同心”服务体系，在全区率先实现养老中心与驿站联合运营、资源共享</w:t>
      </w:r>
      <w:r>
        <w:rPr>
          <w:rFonts w:hint="eastAsia" w:ascii="仿宋_GB2312" w:eastAsia="仿宋_GB2312"/>
          <w:sz w:val="28"/>
          <w:szCs w:val="28"/>
          <w:lang w:eastAsia="zh-CN"/>
        </w:rPr>
        <w:t>；打造“陶然乐业蓄能计划”就业品牌，高校毕业生就业率100%；</w:t>
      </w:r>
      <w:r>
        <w:rPr>
          <w:rFonts w:hint="eastAsia" w:ascii="仿宋_GB2312" w:eastAsia="仿宋_GB2312"/>
          <w:sz w:val="28"/>
          <w:szCs w:val="28"/>
          <w:lang w:val="en-US" w:eastAsia="zh-CN"/>
        </w:rPr>
        <w:t>共享共建方面，完善接诉即办“1+N”机制，以精、心、能、力工作法持续提质降量，年度成绩居全区第三；依托“陶然数治”信息化平台实现治理数据“一表通”，提升网格治理实战效能。</w:t>
      </w:r>
    </w:p>
    <w:p w14:paraId="07DE9845">
      <w:pPr>
        <w:ind w:firstLine="560" w:firstLineChars="200"/>
        <w:rPr>
          <w:rFonts w:ascii="仿宋_GB2312" w:eastAsia="仿宋_GB2312"/>
          <w:sz w:val="28"/>
          <w:szCs w:val="28"/>
        </w:rPr>
      </w:pPr>
      <w:r>
        <w:rPr>
          <w:rFonts w:hint="eastAsia" w:ascii="仿宋_GB2312" w:eastAsia="仿宋_GB2312"/>
          <w:sz w:val="28"/>
          <w:szCs w:val="28"/>
        </w:rPr>
        <w:t>3.产出</w:t>
      </w:r>
      <w:r>
        <w:rPr>
          <w:rFonts w:ascii="仿宋_GB2312" w:eastAsia="仿宋_GB2312"/>
          <w:sz w:val="28"/>
          <w:szCs w:val="28"/>
        </w:rPr>
        <w:t>进度</w:t>
      </w:r>
    </w:p>
    <w:p w14:paraId="18DBFC55">
      <w:pPr>
        <w:ind w:firstLine="560" w:firstLineChars="200"/>
        <w:rPr>
          <w:rFonts w:hint="eastAsia" w:ascii="仿宋_GB2312" w:eastAsia="仿宋_GB2312"/>
          <w:sz w:val="28"/>
          <w:szCs w:val="28"/>
        </w:rPr>
      </w:pPr>
      <w:r>
        <w:rPr>
          <w:rFonts w:hint="eastAsia" w:ascii="仿宋_GB2312" w:eastAsia="仿宋_GB2312"/>
          <w:sz w:val="28"/>
          <w:szCs w:val="28"/>
        </w:rPr>
        <w:t>北京市</w:t>
      </w:r>
      <w:r>
        <w:rPr>
          <w:rFonts w:hint="eastAsia" w:ascii="仿宋_GB2312" w:eastAsia="仿宋_GB2312"/>
          <w:sz w:val="28"/>
          <w:szCs w:val="28"/>
          <w:lang w:val="en-US" w:eastAsia="zh-CN"/>
        </w:rPr>
        <w:t>西城区人民政府陶然亭街道办事处</w:t>
      </w:r>
      <w:r>
        <w:rPr>
          <w:rFonts w:hint="eastAsia" w:ascii="仿宋_GB2312" w:eastAsia="仿宋_GB2312"/>
          <w:sz w:val="28"/>
          <w:szCs w:val="28"/>
        </w:rPr>
        <w:t>202</w:t>
      </w:r>
      <w:r>
        <w:rPr>
          <w:rFonts w:hint="eastAsia" w:ascii="仿宋_GB2312" w:eastAsia="仿宋_GB2312"/>
          <w:sz w:val="28"/>
          <w:szCs w:val="28"/>
          <w:lang w:val="en-US" w:eastAsia="zh-CN"/>
        </w:rPr>
        <w:t>5</w:t>
      </w:r>
      <w:r>
        <w:rPr>
          <w:rFonts w:hint="eastAsia" w:ascii="仿宋_GB2312" w:eastAsia="仿宋_GB2312"/>
          <w:sz w:val="28"/>
          <w:szCs w:val="28"/>
        </w:rPr>
        <w:t>年度各项工作有序推进落实，严控预算执行进度，确保各项工作在年度内完成设定指标。全年项目支出1</w:t>
      </w:r>
      <w:r>
        <w:rPr>
          <w:rFonts w:hint="eastAsia" w:ascii="仿宋_GB2312" w:eastAsia="仿宋_GB2312"/>
          <w:sz w:val="28"/>
          <w:szCs w:val="28"/>
          <w:lang w:val="en-US" w:eastAsia="zh-CN"/>
        </w:rPr>
        <w:t>62</w:t>
      </w:r>
      <w:r>
        <w:rPr>
          <w:rFonts w:hint="eastAsia" w:ascii="仿宋_GB2312" w:eastAsia="仿宋_GB2312"/>
          <w:sz w:val="28"/>
          <w:szCs w:val="28"/>
        </w:rPr>
        <w:t>个，</w:t>
      </w:r>
      <w:r>
        <w:rPr>
          <w:rFonts w:hint="eastAsia" w:ascii="仿宋_GB2312" w:eastAsia="仿宋_GB2312"/>
          <w:sz w:val="28"/>
          <w:szCs w:val="28"/>
          <w:lang w:val="en-US" w:eastAsia="zh-CN"/>
        </w:rPr>
        <w:t>其中6</w:t>
      </w:r>
      <w:r>
        <w:rPr>
          <w:rFonts w:hint="eastAsia" w:ascii="仿宋_GB2312" w:eastAsia="仿宋_GB2312"/>
          <w:sz w:val="28"/>
          <w:szCs w:val="28"/>
        </w:rPr>
        <w:t>个转移支付项目本年度未执行，分别为</w:t>
      </w:r>
      <w:r>
        <w:rPr>
          <w:rFonts w:hint="eastAsia" w:ascii="仿宋_GB2312" w:eastAsia="仿宋_GB2312"/>
          <w:sz w:val="28"/>
          <w:szCs w:val="28"/>
          <w:lang w:eastAsia="zh-CN"/>
        </w:rPr>
        <w:t>：</w:t>
      </w:r>
      <w:r>
        <w:rPr>
          <w:rFonts w:hint="eastAsia" w:ascii="仿宋_GB2312" w:eastAsia="仿宋_GB2312"/>
          <w:sz w:val="28"/>
          <w:szCs w:val="28"/>
        </w:rPr>
        <w:t>京财党政群指</w:t>
      </w:r>
      <w:r>
        <w:rPr>
          <w:rFonts w:hint="eastAsia" w:ascii="仿宋_GB2312" w:eastAsia="仿宋_GB2312"/>
          <w:sz w:val="28"/>
          <w:szCs w:val="28"/>
          <w:lang w:eastAsia="zh-CN"/>
        </w:rPr>
        <w:t>〔2023〕1982号</w:t>
      </w:r>
      <w:r>
        <w:rPr>
          <w:rFonts w:hint="eastAsia" w:ascii="仿宋_GB2312" w:eastAsia="仿宋_GB2312"/>
          <w:sz w:val="28"/>
          <w:szCs w:val="28"/>
        </w:rPr>
        <w:t>提前下达2024年选调生到社区任职财政补助资金、京财社指</w:t>
      </w:r>
      <w:r>
        <w:rPr>
          <w:rFonts w:hint="eastAsia" w:ascii="仿宋_GB2312" w:eastAsia="仿宋_GB2312"/>
          <w:sz w:val="28"/>
          <w:szCs w:val="28"/>
          <w:lang w:eastAsia="zh-CN"/>
        </w:rPr>
        <w:t>〔2024〕2039号</w:t>
      </w:r>
      <w:r>
        <w:rPr>
          <w:rFonts w:hint="eastAsia" w:ascii="仿宋_GB2312" w:eastAsia="仿宋_GB2312"/>
          <w:sz w:val="28"/>
          <w:szCs w:val="28"/>
        </w:rPr>
        <w:t>提前下达2025年中央财政优抚对象医疗保障经费、京财公用指〔2025〕1480号2024年度背街小巷环境精细化整治提升奖励资金</w:t>
      </w:r>
      <w:r>
        <w:rPr>
          <w:rFonts w:hint="eastAsia" w:ascii="仿宋_GB2312" w:eastAsia="仿宋_GB2312"/>
          <w:sz w:val="28"/>
          <w:szCs w:val="28"/>
          <w:lang w:eastAsia="zh-CN"/>
        </w:rPr>
        <w:t>、京财社指〔2025〕2066号2025年高等教育新生入学救助经费、党政机关信息化能力提升设备采购项目—计算机终端</w:t>
      </w:r>
      <w:r>
        <w:rPr>
          <w:rFonts w:hint="eastAsia" w:ascii="仿宋_GB2312" w:eastAsia="仿宋_GB2312"/>
          <w:sz w:val="28"/>
          <w:szCs w:val="28"/>
        </w:rPr>
        <w:t>，涉及预算金额</w:t>
      </w:r>
      <w:r>
        <w:rPr>
          <w:rFonts w:hint="eastAsia" w:ascii="仿宋_GB2312" w:eastAsia="仿宋_GB2312"/>
          <w:sz w:val="28"/>
          <w:szCs w:val="28"/>
          <w:lang w:val="en-US" w:eastAsia="zh-CN"/>
        </w:rPr>
        <w:t>139.79</w:t>
      </w:r>
      <w:r>
        <w:rPr>
          <w:rFonts w:hint="eastAsia" w:ascii="仿宋_GB2312" w:eastAsia="仿宋_GB2312"/>
          <w:sz w:val="28"/>
          <w:szCs w:val="28"/>
        </w:rPr>
        <w:t>万元。根据相关规定转移支付资金可结转第二年继续使用。</w:t>
      </w:r>
    </w:p>
    <w:p w14:paraId="0C34A989">
      <w:pPr>
        <w:ind w:firstLine="560" w:firstLineChars="200"/>
        <w:rPr>
          <w:rFonts w:hint="default" w:ascii="仿宋_GB2312" w:eastAsia="仿宋_GB2312"/>
          <w:sz w:val="28"/>
          <w:szCs w:val="28"/>
          <w:lang w:val="en-US" w:eastAsia="zh-CN"/>
        </w:rPr>
      </w:pPr>
      <w:r>
        <w:rPr>
          <w:rFonts w:hint="eastAsia" w:ascii="仿宋_GB2312" w:eastAsia="仿宋_GB2312"/>
          <w:sz w:val="28"/>
          <w:szCs w:val="28"/>
          <w:lang w:eastAsia="zh-CN"/>
        </w:rPr>
        <w:t>（</w:t>
      </w:r>
      <w:r>
        <w:rPr>
          <w:rFonts w:hint="eastAsia" w:ascii="仿宋_GB2312" w:eastAsia="仿宋_GB2312"/>
          <w:sz w:val="28"/>
          <w:szCs w:val="28"/>
          <w:lang w:val="en-US" w:eastAsia="zh-CN"/>
        </w:rPr>
        <w:t>二</w:t>
      </w:r>
      <w:r>
        <w:rPr>
          <w:rFonts w:hint="eastAsia" w:ascii="仿宋_GB2312" w:eastAsia="仿宋_GB2312"/>
          <w:sz w:val="28"/>
          <w:szCs w:val="28"/>
          <w:lang w:eastAsia="zh-CN"/>
        </w:rPr>
        <w:t>）</w:t>
      </w:r>
      <w:r>
        <w:rPr>
          <w:rFonts w:hint="eastAsia" w:ascii="仿宋_GB2312" w:eastAsia="仿宋_GB2312"/>
          <w:sz w:val="28"/>
          <w:szCs w:val="28"/>
          <w:lang w:val="en-US" w:eastAsia="zh-CN"/>
        </w:rPr>
        <w:t>成本指标完成情况分析</w:t>
      </w:r>
    </w:p>
    <w:p w14:paraId="41BBBDE0">
      <w:pPr>
        <w:ind w:firstLine="560" w:firstLineChars="200"/>
        <w:rPr>
          <w:rFonts w:hint="eastAsia" w:ascii="仿宋_GB2312" w:eastAsia="仿宋_GB2312"/>
          <w:sz w:val="28"/>
          <w:szCs w:val="28"/>
          <w:lang w:eastAsia="zh-CN"/>
        </w:rPr>
      </w:pPr>
      <w:r>
        <w:rPr>
          <w:rFonts w:hint="eastAsia" w:ascii="仿宋_GB2312" w:eastAsia="仿宋_GB2312"/>
          <w:sz w:val="28"/>
          <w:szCs w:val="28"/>
        </w:rPr>
        <w:t>陶然亭街道办事处20</w:t>
      </w:r>
      <w:r>
        <w:rPr>
          <w:rFonts w:hint="eastAsia" w:ascii="仿宋_GB2312" w:eastAsia="仿宋_GB2312"/>
          <w:sz w:val="28"/>
          <w:szCs w:val="28"/>
          <w:lang w:val="en-US" w:eastAsia="zh-CN"/>
        </w:rPr>
        <w:t>25</w:t>
      </w:r>
      <w:r>
        <w:rPr>
          <w:rFonts w:hint="eastAsia" w:ascii="仿宋_GB2312" w:eastAsia="仿宋_GB2312"/>
          <w:sz w:val="28"/>
          <w:szCs w:val="28"/>
        </w:rPr>
        <w:t>年度严格落实 “过紧日子” 要求，</w:t>
      </w:r>
      <w:r>
        <w:rPr>
          <w:rFonts w:hint="eastAsia" w:ascii="仿宋_GB2312" w:eastAsia="仿宋_GB2312"/>
          <w:sz w:val="28"/>
          <w:szCs w:val="28"/>
          <w:lang w:val="en-US" w:eastAsia="zh-CN"/>
        </w:rPr>
        <w:t>夯实预算编制基础，</w:t>
      </w:r>
      <w:r>
        <w:rPr>
          <w:rFonts w:hint="eastAsia" w:ascii="仿宋_GB2312" w:eastAsia="仿宋_GB2312"/>
          <w:sz w:val="28"/>
          <w:szCs w:val="28"/>
        </w:rPr>
        <w:t>统筹压减非必要、非刚性项目支出</w:t>
      </w:r>
      <w:r>
        <w:rPr>
          <w:rFonts w:hint="eastAsia" w:ascii="仿宋_GB2312" w:eastAsia="仿宋_GB2312"/>
          <w:sz w:val="28"/>
          <w:szCs w:val="28"/>
          <w:lang w:eastAsia="zh-CN"/>
        </w:rPr>
        <w:t>，</w:t>
      </w:r>
      <w:r>
        <w:rPr>
          <w:rFonts w:hint="eastAsia" w:ascii="仿宋_GB2312" w:eastAsia="仿宋_GB2312"/>
          <w:sz w:val="28"/>
          <w:szCs w:val="28"/>
        </w:rPr>
        <w:t>调整支出结构，缩减低效、零散项目资金投放，对存量项目资金进行统筹整合、优化配置</w:t>
      </w:r>
      <w:r>
        <w:rPr>
          <w:rFonts w:hint="eastAsia" w:ascii="仿宋_GB2312" w:eastAsia="仿宋_GB2312"/>
          <w:sz w:val="28"/>
          <w:szCs w:val="28"/>
          <w:lang w:eastAsia="zh-CN"/>
        </w:rPr>
        <w:t>。</w:t>
      </w:r>
      <w:r>
        <w:rPr>
          <w:rFonts w:hint="eastAsia" w:ascii="仿宋_GB2312" w:eastAsia="仿宋_GB2312"/>
          <w:sz w:val="28"/>
          <w:szCs w:val="28"/>
          <w:lang w:val="en-US" w:eastAsia="zh-CN"/>
        </w:rPr>
        <w:t>在预算执行过程中，</w:t>
      </w:r>
      <w:r>
        <w:rPr>
          <w:rFonts w:hint="eastAsia" w:ascii="仿宋_GB2312" w:eastAsia="仿宋_GB2312"/>
          <w:sz w:val="28"/>
          <w:szCs w:val="28"/>
        </w:rPr>
        <w:t>强化预算刚性约束，严格执行经费审批流程，严控 “三公” 经费及行政运行类经费增长，通过精细化管理压缩不必要开支</w:t>
      </w:r>
      <w:r>
        <w:rPr>
          <w:rFonts w:hint="eastAsia" w:ascii="仿宋_GB2312" w:eastAsia="仿宋_GB2312"/>
          <w:sz w:val="28"/>
          <w:szCs w:val="28"/>
          <w:lang w:eastAsia="zh-CN"/>
        </w:rPr>
        <w:t>。</w:t>
      </w:r>
      <w:r>
        <w:rPr>
          <w:rFonts w:hint="eastAsia" w:ascii="仿宋_GB2312" w:eastAsia="仿宋_GB2312"/>
          <w:sz w:val="28"/>
          <w:szCs w:val="28"/>
          <w:lang w:val="en-US" w:eastAsia="zh-CN"/>
        </w:rPr>
        <w:t>本年度陶然亭街道办事处预算支出</w:t>
      </w:r>
      <w:r>
        <w:rPr>
          <w:rFonts w:hint="eastAsia" w:ascii="仿宋_GB2312" w:eastAsia="仿宋_GB2312"/>
          <w:sz w:val="28"/>
          <w:szCs w:val="28"/>
        </w:rPr>
        <w:t>22</w:t>
      </w:r>
      <w:r>
        <w:rPr>
          <w:rFonts w:hint="eastAsia" w:ascii="仿宋_GB2312" w:eastAsia="仿宋_GB2312"/>
          <w:sz w:val="28"/>
          <w:szCs w:val="28"/>
          <w:lang w:val="en-US" w:eastAsia="zh-CN"/>
        </w:rPr>
        <w:t>,</w:t>
      </w:r>
      <w:r>
        <w:rPr>
          <w:rFonts w:hint="eastAsia" w:ascii="仿宋_GB2312" w:eastAsia="仿宋_GB2312"/>
          <w:sz w:val="28"/>
          <w:szCs w:val="28"/>
        </w:rPr>
        <w:t>385.01万元，</w:t>
      </w:r>
      <w:r>
        <w:rPr>
          <w:rFonts w:hint="eastAsia" w:ascii="仿宋_GB2312" w:eastAsia="仿宋_GB2312"/>
          <w:sz w:val="28"/>
          <w:szCs w:val="28"/>
          <w:lang w:val="en-US" w:eastAsia="zh-CN"/>
        </w:rPr>
        <w:t>较2024年预算支出</w:t>
      </w:r>
      <w:r>
        <w:rPr>
          <w:rFonts w:hint="eastAsia" w:ascii="仿宋_GB2312" w:eastAsia="仿宋_GB2312"/>
          <w:sz w:val="28"/>
          <w:szCs w:val="28"/>
        </w:rPr>
        <w:t>23</w:t>
      </w:r>
      <w:r>
        <w:rPr>
          <w:rFonts w:hint="eastAsia" w:ascii="仿宋_GB2312" w:eastAsia="仿宋_GB2312"/>
          <w:sz w:val="28"/>
          <w:szCs w:val="28"/>
          <w:lang w:val="en-US" w:eastAsia="zh-CN"/>
        </w:rPr>
        <w:t>,</w:t>
      </w:r>
      <w:r>
        <w:rPr>
          <w:rFonts w:hint="eastAsia" w:ascii="仿宋_GB2312" w:eastAsia="仿宋_GB2312"/>
          <w:sz w:val="28"/>
          <w:szCs w:val="28"/>
        </w:rPr>
        <w:t>197</w:t>
      </w:r>
      <w:r>
        <w:rPr>
          <w:rFonts w:hint="eastAsia" w:ascii="仿宋_GB2312" w:eastAsia="仿宋_GB2312"/>
          <w:sz w:val="28"/>
          <w:szCs w:val="28"/>
          <w:lang w:val="en-US" w:eastAsia="zh-CN"/>
        </w:rPr>
        <w:t>.00</w:t>
      </w:r>
      <w:r>
        <w:rPr>
          <w:rFonts w:hint="eastAsia" w:ascii="仿宋_GB2312" w:eastAsia="仿宋_GB2312"/>
          <w:sz w:val="28"/>
          <w:szCs w:val="28"/>
        </w:rPr>
        <w:t>万元，同比</w:t>
      </w:r>
      <w:r>
        <w:rPr>
          <w:rFonts w:hint="eastAsia" w:ascii="仿宋_GB2312" w:eastAsia="仿宋_GB2312"/>
          <w:sz w:val="28"/>
          <w:szCs w:val="28"/>
          <w:lang w:val="en-US" w:eastAsia="zh-CN"/>
        </w:rPr>
        <w:t>减少</w:t>
      </w:r>
      <w:r>
        <w:rPr>
          <w:rFonts w:hint="eastAsia" w:ascii="仿宋_GB2312" w:eastAsia="仿宋_GB2312"/>
          <w:sz w:val="28"/>
          <w:szCs w:val="28"/>
        </w:rPr>
        <w:t>811.98万元，同比</w:t>
      </w:r>
      <w:r>
        <w:rPr>
          <w:rFonts w:hint="eastAsia" w:ascii="仿宋_GB2312" w:eastAsia="仿宋_GB2312"/>
          <w:sz w:val="28"/>
          <w:szCs w:val="28"/>
          <w:lang w:val="en-US" w:eastAsia="zh-CN"/>
        </w:rPr>
        <w:t>下降</w:t>
      </w:r>
      <w:r>
        <w:rPr>
          <w:rFonts w:hint="eastAsia" w:ascii="仿宋_GB2312" w:eastAsia="仿宋_GB2312"/>
          <w:sz w:val="28"/>
          <w:szCs w:val="28"/>
        </w:rPr>
        <w:t>3.5</w:t>
      </w:r>
      <w:r>
        <w:rPr>
          <w:rFonts w:ascii="仿宋_GB2312" w:eastAsia="仿宋_GB2312"/>
          <w:sz w:val="28"/>
          <w:szCs w:val="28"/>
        </w:rPr>
        <w:t>%</w:t>
      </w:r>
      <w:r>
        <w:rPr>
          <w:rFonts w:hint="eastAsia" w:ascii="仿宋_GB2312" w:eastAsia="仿宋_GB2312"/>
          <w:sz w:val="28"/>
          <w:szCs w:val="28"/>
          <w:lang w:eastAsia="zh-CN"/>
        </w:rPr>
        <w:t>。</w:t>
      </w:r>
    </w:p>
    <w:p w14:paraId="782AB3BC">
      <w:pPr>
        <w:ind w:firstLine="560" w:firstLineChars="200"/>
        <w:rPr>
          <w:rFonts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lang w:val="en-US" w:eastAsia="zh-CN"/>
        </w:rPr>
        <w:t>三</w:t>
      </w:r>
      <w:r>
        <w:rPr>
          <w:rFonts w:hint="eastAsia" w:ascii="仿宋_GB2312" w:eastAsia="仿宋_GB2312"/>
          <w:sz w:val="28"/>
          <w:szCs w:val="28"/>
        </w:rPr>
        <w:t>）效果</w:t>
      </w:r>
      <w:r>
        <w:rPr>
          <w:rFonts w:ascii="仿宋_GB2312" w:eastAsia="仿宋_GB2312"/>
          <w:sz w:val="28"/>
          <w:szCs w:val="28"/>
        </w:rPr>
        <w:t>实现情况分析</w:t>
      </w:r>
    </w:p>
    <w:p w14:paraId="11AF946F">
      <w:pPr>
        <w:ind w:firstLine="560" w:firstLineChars="200"/>
        <w:rPr>
          <w:rFonts w:ascii="仿宋_GB2312" w:eastAsia="仿宋_GB2312"/>
          <w:sz w:val="28"/>
          <w:szCs w:val="28"/>
        </w:rPr>
      </w:pPr>
      <w:r>
        <w:rPr>
          <w:rFonts w:hint="eastAsia" w:ascii="仿宋_GB2312" w:eastAsia="仿宋_GB2312"/>
          <w:sz w:val="28"/>
          <w:szCs w:val="28"/>
        </w:rPr>
        <w:t>1.经济</w:t>
      </w:r>
      <w:r>
        <w:rPr>
          <w:rFonts w:ascii="仿宋_GB2312" w:eastAsia="仿宋_GB2312"/>
          <w:sz w:val="28"/>
          <w:szCs w:val="28"/>
        </w:rPr>
        <w:t>效益</w:t>
      </w:r>
    </w:p>
    <w:p w14:paraId="32BBAE5D">
      <w:pPr>
        <w:ind w:firstLine="560" w:firstLineChars="200"/>
        <w:rPr>
          <w:rFonts w:hint="eastAsia" w:ascii="仿宋_GB2312" w:eastAsia="仿宋_GB2312"/>
          <w:sz w:val="28"/>
          <w:szCs w:val="28"/>
          <w:lang w:eastAsia="zh-CN"/>
        </w:rPr>
      </w:pPr>
      <w:r>
        <w:rPr>
          <w:rFonts w:hint="eastAsia" w:ascii="仿宋_GB2312" w:eastAsia="仿宋_GB2312"/>
          <w:sz w:val="28"/>
          <w:szCs w:val="28"/>
        </w:rPr>
        <w:t>强化人才支撑与企业服务，推动商圈高质量</w:t>
      </w:r>
      <w:r>
        <w:rPr>
          <w:rFonts w:hint="eastAsia" w:ascii="仿宋_GB2312" w:eastAsia="仿宋_GB2312"/>
          <w:sz w:val="28"/>
          <w:szCs w:val="28"/>
          <w:lang w:val="en-US" w:eastAsia="zh-CN"/>
        </w:rPr>
        <w:t>发展</w:t>
      </w:r>
      <w:r>
        <w:rPr>
          <w:rFonts w:hint="eastAsia" w:ascii="仿宋_GB2312" w:eastAsia="仿宋_GB2312"/>
          <w:sz w:val="28"/>
          <w:szCs w:val="28"/>
          <w:lang w:eastAsia="zh-CN"/>
        </w:rPr>
        <w:t>。</w:t>
      </w:r>
      <w:r>
        <w:rPr>
          <w:rFonts w:hint="eastAsia" w:ascii="仿宋_GB2312" w:eastAsia="仿宋_GB2312"/>
          <w:sz w:val="28"/>
          <w:szCs w:val="28"/>
          <w:lang w:val="en-US" w:eastAsia="zh-CN"/>
        </w:rPr>
        <w:t>陶然亭街道持续助力区域内经济发展，</w:t>
      </w:r>
      <w:r>
        <w:rPr>
          <w:rFonts w:hint="eastAsia" w:ascii="仿宋_GB2312" w:eastAsia="仿宋_GB2312"/>
          <w:sz w:val="28"/>
          <w:szCs w:val="28"/>
        </w:rPr>
        <w:t>组建中海金融中心商圈专委会，出台“汇zhi陶然”人才工作机制，保障商圈年营收超4亿元。统筹中海大吉巷开业系列活动，开通6类政务绿色通道，破解证照审批等50余项堵点难题，助力121家企业完成市场主体登记，开业即“破圈”成为核心区商业新地标</w:t>
      </w:r>
      <w:r>
        <w:rPr>
          <w:rFonts w:hint="eastAsia" w:ascii="仿宋_GB2312" w:eastAsia="仿宋_GB2312"/>
          <w:sz w:val="28"/>
          <w:szCs w:val="28"/>
          <w:lang w:eastAsia="zh-CN"/>
        </w:rPr>
        <w:t>。</w:t>
      </w:r>
      <w:r>
        <w:rPr>
          <w:rFonts w:hint="eastAsia" w:ascii="仿宋_GB2312" w:eastAsia="仿宋_GB2312"/>
          <w:sz w:val="28"/>
          <w:szCs w:val="28"/>
        </w:rPr>
        <w:t>联合开展戏剧文化市集、体育嘉年华等活动，提升商圈消费活力。吸纳北京元隆雅图等6家企业入驻。助力物美中信城店品牌升级，日营收提升200%，推动黑窑厂糖油饼店等11家企业达规纳统</w:t>
      </w:r>
      <w:r>
        <w:rPr>
          <w:rFonts w:hint="eastAsia" w:ascii="仿宋_GB2312" w:eastAsia="仿宋_GB2312"/>
          <w:sz w:val="28"/>
          <w:szCs w:val="28"/>
          <w:lang w:eastAsia="zh-CN"/>
        </w:rPr>
        <w:t>。</w:t>
      </w:r>
    </w:p>
    <w:p w14:paraId="4B879511">
      <w:pPr>
        <w:ind w:firstLine="560" w:firstLineChars="200"/>
        <w:rPr>
          <w:rFonts w:ascii="仿宋_GB2312" w:eastAsia="仿宋_GB2312"/>
          <w:sz w:val="28"/>
          <w:szCs w:val="28"/>
        </w:rPr>
      </w:pPr>
      <w:r>
        <w:rPr>
          <w:rFonts w:hint="eastAsia" w:ascii="仿宋_GB2312" w:eastAsia="仿宋_GB2312"/>
          <w:sz w:val="28"/>
          <w:szCs w:val="28"/>
        </w:rPr>
        <w:t>2.社会效益</w:t>
      </w:r>
    </w:p>
    <w:p w14:paraId="7E61DE5F">
      <w:pPr>
        <w:ind w:firstLine="560" w:firstLineChars="200"/>
        <w:rPr>
          <w:rFonts w:hint="eastAsia" w:ascii="仿宋_GB2312" w:eastAsia="仿宋_GB2312"/>
          <w:sz w:val="28"/>
          <w:szCs w:val="28"/>
          <w:lang w:eastAsia="zh-CN"/>
        </w:rPr>
      </w:pPr>
      <w:r>
        <w:rPr>
          <w:rFonts w:hint="eastAsia" w:ascii="仿宋_GB2312" w:eastAsia="仿宋_GB2312"/>
          <w:sz w:val="28"/>
          <w:szCs w:val="28"/>
        </w:rPr>
        <w:t>筑牢安全防线，深耕城市运行保障</w:t>
      </w:r>
      <w:r>
        <w:rPr>
          <w:rFonts w:hint="eastAsia" w:ascii="仿宋_GB2312" w:eastAsia="仿宋_GB2312"/>
          <w:sz w:val="28"/>
          <w:szCs w:val="28"/>
          <w:lang w:eastAsia="zh-CN"/>
        </w:rPr>
        <w:t>，</w:t>
      </w:r>
      <w:r>
        <w:rPr>
          <w:rFonts w:hint="eastAsia" w:ascii="仿宋_GB2312" w:eastAsia="仿宋_GB2312"/>
          <w:sz w:val="28"/>
          <w:szCs w:val="28"/>
        </w:rPr>
        <w:t>推动城市运行保障工作取得阶段性新成效。圆满完成中国人民抗日战争暨世界反法西斯战争胜利80周年纪念活动保障工作，成功处置1起涉稳突发事件，3名物业响应人获市公安局嘉奖；扎实推进安全生产治本攻坚三年行动，核心指标完成率均达100%；积极开展技能培训等特色服务，打造养老服务综合体，形成“1中心+2机构+3驿站”格局。优化“陶然百味”助餐服务，为两家驿站引入堂食助餐服务。挺膺担当紧急补位《接诉即办》栏目拍摄，以八中四存校区周边环境治理为选题，仅用11天打通工程壁垒，圆满完成拍摄“闭环”。同时，牵头录制《向前一步》1期、协助录制《接诉即办》1期。</w:t>
      </w:r>
    </w:p>
    <w:p w14:paraId="4782EF8D">
      <w:pPr>
        <w:ind w:firstLine="560" w:firstLineChars="200"/>
        <w:rPr>
          <w:rFonts w:hint="eastAsia" w:ascii="仿宋_GB2312" w:eastAsia="仿宋_GB2312"/>
          <w:sz w:val="28"/>
          <w:szCs w:val="28"/>
        </w:rPr>
      </w:pPr>
      <w:r>
        <w:rPr>
          <w:rFonts w:hint="eastAsia" w:ascii="仿宋_GB2312" w:eastAsia="仿宋_GB2312"/>
          <w:sz w:val="28"/>
          <w:szCs w:val="28"/>
        </w:rPr>
        <w:t>3.环境效益</w:t>
      </w:r>
    </w:p>
    <w:p w14:paraId="531B2F33">
      <w:pPr>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推动环境品质持续升级，全力保障大吉片项目建设。积极推进30户居民拆迁，完成梁启超故居最后一户强执工作</w:t>
      </w:r>
      <w:r>
        <w:rPr>
          <w:rFonts w:ascii="仿宋_GB2312" w:eastAsia="仿宋_GB2312"/>
          <w:sz w:val="28"/>
          <w:szCs w:val="28"/>
        </w:rPr>
        <w:t>。</w:t>
      </w:r>
      <w:r>
        <w:rPr>
          <w:rFonts w:hint="eastAsia" w:ascii="仿宋_GB2312" w:eastAsia="仿宋_GB2312"/>
          <w:sz w:val="28"/>
          <w:szCs w:val="28"/>
        </w:rPr>
        <w:t>提前超额完成3014.43平米拆违任务，完成</w:t>
      </w:r>
      <w:r>
        <w:rPr>
          <w:rFonts w:hint="eastAsia" w:ascii="仿宋_GB2312" w:eastAsia="仿宋_GB2312"/>
          <w:sz w:val="28"/>
          <w:szCs w:val="28"/>
          <w:lang w:eastAsia="zh-CN"/>
        </w:rPr>
        <w:t>“</w:t>
      </w:r>
      <w:r>
        <w:rPr>
          <w:rFonts w:hint="eastAsia" w:ascii="仿宋_GB2312" w:eastAsia="仿宋_GB2312"/>
          <w:sz w:val="28"/>
          <w:szCs w:val="28"/>
        </w:rPr>
        <w:t>十四五</w:t>
      </w:r>
      <w:r>
        <w:rPr>
          <w:rFonts w:hint="eastAsia" w:ascii="仿宋_GB2312" w:eastAsia="仿宋_GB2312"/>
          <w:sz w:val="28"/>
          <w:szCs w:val="28"/>
          <w:lang w:eastAsia="zh-CN"/>
        </w:rPr>
        <w:t>”</w:t>
      </w:r>
      <w:r>
        <w:rPr>
          <w:rFonts w:hint="eastAsia" w:ascii="仿宋_GB2312" w:eastAsia="仿宋_GB2312"/>
          <w:sz w:val="28"/>
          <w:szCs w:val="28"/>
        </w:rPr>
        <w:t>期间最后6栋楼1.8万平米老旧小区改造</w:t>
      </w:r>
      <w:r>
        <w:rPr>
          <w:rFonts w:hint="eastAsia" w:ascii="仿宋_GB2312" w:eastAsia="仿宋_GB2312"/>
          <w:sz w:val="28"/>
          <w:szCs w:val="28"/>
          <w:lang w:eastAsia="zh-CN"/>
        </w:rPr>
        <w:t>。打造“幸福街巷 美好陶然”工程，完成3条胡同整治提升，建成2处“最美院落”，四平园垃圾驿站试行全流程封闭管理，优化辖区生态环境。</w:t>
      </w:r>
      <w:r>
        <w:rPr>
          <w:rFonts w:hint="eastAsia" w:ascii="仿宋_GB2312" w:eastAsia="仿宋_GB2312"/>
          <w:sz w:val="28"/>
          <w:szCs w:val="28"/>
        </w:rPr>
        <w:t>依托“陶然数治”信息化平台实现治理数据“一表通”，提升网格治理实战效能。迭代“合陶伙伴3.0”，以全区首个北京市基层社会动员实践试点为抓手，统筹资源开展“合陶有我・众智共创”10项社区治理行动。推动姚家井小区引入市场化物业，完成市级点位销账</w:t>
      </w:r>
      <w:r>
        <w:rPr>
          <w:rFonts w:hint="eastAsia" w:ascii="仿宋_GB2312" w:eastAsia="仿宋_GB2312"/>
          <w:sz w:val="28"/>
          <w:szCs w:val="28"/>
          <w:lang w:eastAsia="zh-CN"/>
        </w:rPr>
        <w:t>。</w:t>
      </w:r>
    </w:p>
    <w:p w14:paraId="70B25223">
      <w:pPr>
        <w:ind w:firstLine="560" w:firstLineChars="200"/>
        <w:rPr>
          <w:rFonts w:ascii="仿宋_GB2312" w:eastAsia="仿宋_GB2312"/>
          <w:sz w:val="28"/>
          <w:szCs w:val="28"/>
        </w:rPr>
      </w:pPr>
      <w:r>
        <w:rPr>
          <w:rFonts w:hint="eastAsia" w:ascii="仿宋_GB2312" w:eastAsia="仿宋_GB2312"/>
          <w:sz w:val="28"/>
          <w:szCs w:val="28"/>
        </w:rPr>
        <w:t>4.可持续</w:t>
      </w:r>
      <w:r>
        <w:rPr>
          <w:rFonts w:ascii="仿宋_GB2312" w:eastAsia="仿宋_GB2312"/>
          <w:sz w:val="28"/>
          <w:szCs w:val="28"/>
        </w:rPr>
        <w:t>性影响</w:t>
      </w:r>
    </w:p>
    <w:p w14:paraId="313F5993">
      <w:pPr>
        <w:ind w:firstLine="560" w:firstLineChars="200"/>
        <w:rPr>
          <w:rFonts w:ascii="仿宋_GB2312" w:eastAsia="仿宋_GB2312"/>
          <w:sz w:val="28"/>
          <w:szCs w:val="28"/>
        </w:rPr>
      </w:pPr>
      <w:r>
        <w:rPr>
          <w:rFonts w:hint="eastAsia" w:ascii="仿宋_GB2312" w:eastAsia="仿宋_GB2312"/>
          <w:sz w:val="28"/>
          <w:szCs w:val="28"/>
        </w:rPr>
        <w:t>聚焦9类重点领域开展集中整治督察，修订6项制度文件。平稳有序推进社区“两委”换届。细化“陶然青春”年轻干部培养措施，开展“青春思辨”风采展示活动，持续提升干部能力；举办“以雅启心、与时偕行”2025陶然江亭雅集，紧扣“文融西城、雅惠百姓”主线开展“1+5”系列活动。举办第23届“陶然杯”地书邀请赛，发布未成年人思想道德建设“德育十项行动”。成立街道文学艺术界联合会</w:t>
      </w:r>
      <w:r>
        <w:rPr>
          <w:rFonts w:hint="eastAsia" w:ascii="仿宋_GB2312" w:eastAsia="仿宋_GB2312"/>
          <w:sz w:val="28"/>
          <w:szCs w:val="28"/>
          <w:lang w:eastAsia="zh-CN"/>
        </w:rPr>
        <w:t>。</w:t>
      </w:r>
    </w:p>
    <w:p w14:paraId="4FB8B4CE">
      <w:pPr>
        <w:ind w:firstLine="560" w:firstLineChars="200"/>
        <w:rPr>
          <w:rFonts w:ascii="仿宋_GB2312" w:eastAsia="仿宋_GB2312"/>
          <w:sz w:val="28"/>
          <w:szCs w:val="28"/>
        </w:rPr>
      </w:pPr>
      <w:r>
        <w:rPr>
          <w:rFonts w:hint="eastAsia" w:ascii="仿宋_GB2312" w:eastAsia="仿宋_GB2312"/>
          <w:sz w:val="28"/>
          <w:szCs w:val="28"/>
        </w:rPr>
        <w:t>5.服务对象</w:t>
      </w:r>
      <w:r>
        <w:rPr>
          <w:rFonts w:ascii="仿宋_GB2312" w:eastAsia="仿宋_GB2312"/>
          <w:sz w:val="28"/>
          <w:szCs w:val="28"/>
        </w:rPr>
        <w:t>满意度</w:t>
      </w:r>
    </w:p>
    <w:p w14:paraId="23F2F643">
      <w:pPr>
        <w:ind w:firstLine="560" w:firstLineChars="200"/>
        <w:rPr>
          <w:rFonts w:hint="default"/>
          <w:lang w:val="en-US" w:eastAsia="zh-CN"/>
        </w:rPr>
      </w:pPr>
      <w:bookmarkStart w:id="1" w:name="_Toc14761"/>
      <w:bookmarkStart w:id="2" w:name="_Toc23321"/>
      <w:bookmarkStart w:id="3" w:name="_Toc22811"/>
      <w:bookmarkStart w:id="4" w:name="_Toc9218"/>
      <w:bookmarkStart w:id="5" w:name="_Toc21288"/>
      <w:bookmarkStart w:id="6" w:name="_Toc2139"/>
      <w:bookmarkStart w:id="7" w:name="_Toc10543"/>
      <w:bookmarkStart w:id="8" w:name="_Toc25670"/>
      <w:r>
        <w:rPr>
          <w:rFonts w:hint="eastAsia" w:ascii="仿宋_GB2312" w:eastAsia="仿宋_GB2312"/>
          <w:sz w:val="28"/>
          <w:szCs w:val="28"/>
        </w:rPr>
        <w:t>202</w:t>
      </w:r>
      <w:r>
        <w:rPr>
          <w:rFonts w:hint="eastAsia" w:ascii="仿宋_GB2312" w:eastAsia="仿宋_GB2312"/>
          <w:sz w:val="28"/>
          <w:szCs w:val="28"/>
          <w:lang w:val="en-US" w:eastAsia="zh-CN"/>
        </w:rPr>
        <w:t>5</w:t>
      </w:r>
      <w:r>
        <w:rPr>
          <w:rFonts w:hint="eastAsia" w:ascii="仿宋_GB2312" w:eastAsia="仿宋_GB2312"/>
          <w:sz w:val="28"/>
          <w:szCs w:val="28"/>
        </w:rPr>
        <w:t>年度，</w:t>
      </w:r>
      <w:r>
        <w:rPr>
          <w:rFonts w:hint="eastAsia" w:ascii="仿宋_GB2312" w:eastAsia="仿宋_GB2312"/>
          <w:sz w:val="28"/>
          <w:szCs w:val="28"/>
          <w:lang w:val="en-US" w:eastAsia="zh-CN"/>
        </w:rPr>
        <w:t>陶然亭街道办事处</w:t>
      </w:r>
      <w:r>
        <w:rPr>
          <w:rFonts w:hint="eastAsia" w:ascii="仿宋_GB2312" w:eastAsia="仿宋_GB2312"/>
          <w:sz w:val="28"/>
          <w:szCs w:val="28"/>
        </w:rPr>
        <w:t>坚持以“精、心、能、力”四字工作法为基础，聚焦居民诉求，</w:t>
      </w:r>
      <w:r>
        <w:rPr>
          <w:rFonts w:hint="eastAsia" w:ascii="仿宋_GB2312" w:eastAsia="仿宋_GB2312"/>
          <w:sz w:val="28"/>
          <w:szCs w:val="28"/>
          <w:lang w:val="en-US" w:eastAsia="zh-CN"/>
        </w:rPr>
        <w:t>组织实施辖区与居民生活密切相关的公共服务工作，落实卫生健康、养老助残、社会救助、文化教育以及经济发展等方面的相关工作。</w:t>
      </w:r>
      <w:r>
        <w:rPr>
          <w:rFonts w:hint="eastAsia" w:ascii="仿宋_GB2312" w:eastAsia="仿宋_GB2312"/>
          <w:sz w:val="28"/>
          <w:szCs w:val="28"/>
        </w:rPr>
        <w:t>制定企业大走访工作方案，落实街道班子联系服务重点企业</w:t>
      </w:r>
      <w:r>
        <w:rPr>
          <w:rFonts w:hint="eastAsia" w:ascii="仿宋_GB2312" w:eastAsia="仿宋_GB2312"/>
          <w:sz w:val="28"/>
          <w:szCs w:val="28"/>
          <w:lang w:val="en-US" w:eastAsia="zh-CN"/>
        </w:rPr>
        <w:t>制度，</w:t>
      </w:r>
      <w:r>
        <w:rPr>
          <w:rFonts w:hint="eastAsia" w:ascii="仿宋_GB2312" w:eastAsia="仿宋_GB2312"/>
          <w:sz w:val="28"/>
          <w:szCs w:val="28"/>
        </w:rPr>
        <w:t>与重点企业深化对接交流，办结企业诉求，满意率100%。充分落实“暖心行动”</w:t>
      </w:r>
      <w:r>
        <w:rPr>
          <w:rFonts w:hint="eastAsia" w:ascii="仿宋_GB2312" w:eastAsia="仿宋_GB2312"/>
          <w:sz w:val="28"/>
          <w:szCs w:val="28"/>
          <w:lang w:eastAsia="zh-CN"/>
        </w:rPr>
        <w:t>，</w:t>
      </w:r>
      <w:r>
        <w:rPr>
          <w:rFonts w:hint="eastAsia" w:ascii="仿宋_GB2312" w:eastAsia="仿宋_GB2312"/>
          <w:sz w:val="28"/>
          <w:szCs w:val="28"/>
        </w:rPr>
        <w:t>发挥专项热线作用，主要领导每周主动与高频诉求“老熟人”见面。</w:t>
      </w:r>
      <w:bookmarkEnd w:id="1"/>
      <w:bookmarkEnd w:id="2"/>
      <w:bookmarkEnd w:id="3"/>
      <w:bookmarkEnd w:id="4"/>
      <w:bookmarkEnd w:id="5"/>
      <w:bookmarkEnd w:id="6"/>
      <w:bookmarkEnd w:id="7"/>
      <w:bookmarkEnd w:id="8"/>
      <w:r>
        <w:rPr>
          <w:rFonts w:hint="eastAsia" w:ascii="仿宋_GB2312" w:eastAsia="仿宋_GB2312"/>
          <w:sz w:val="28"/>
          <w:szCs w:val="28"/>
        </w:rPr>
        <w:t>全年无休保证陶然亭街道“12345市民服务热线”稳定顺利运行，办件科室及社区满意度达到100%，街巷服务、社区工作者经费、幼儿园经费、居民最低生活保障等重点项目服务对象满意度均达到90%以上，服务及受益对象满意度达到既定目标，提高了群众的幸福感、获得感和满意度。</w:t>
      </w:r>
    </w:p>
    <w:p w14:paraId="16F3C321">
      <w:pPr>
        <w:numPr>
          <w:ilvl w:val="0"/>
          <w:numId w:val="1"/>
        </w:numPr>
        <w:ind w:left="0" w:leftChars="0" w:firstLine="560" w:firstLineChars="200"/>
        <w:rPr>
          <w:rFonts w:hint="eastAsia" w:ascii="黑体" w:eastAsia="黑体"/>
          <w:sz w:val="28"/>
          <w:szCs w:val="28"/>
          <w:highlight w:val="none"/>
          <w:lang w:eastAsia="zh-CN"/>
        </w:rPr>
      </w:pPr>
      <w:r>
        <w:rPr>
          <w:rFonts w:hint="eastAsia" w:ascii="黑体" w:eastAsia="黑体"/>
          <w:sz w:val="28"/>
          <w:szCs w:val="28"/>
          <w:highlight w:val="none"/>
          <w:lang w:eastAsia="zh-CN"/>
        </w:rPr>
        <w:t>保安协管员经费</w:t>
      </w:r>
      <w:r>
        <w:rPr>
          <w:rFonts w:hint="eastAsia" w:ascii="黑体" w:eastAsia="黑体"/>
          <w:sz w:val="28"/>
          <w:szCs w:val="28"/>
          <w:highlight w:val="none"/>
        </w:rPr>
        <w:t>项目支出绩效评价报告</w:t>
      </w:r>
      <w:r>
        <w:rPr>
          <w:rFonts w:hint="eastAsia" w:ascii="黑体" w:eastAsia="黑体"/>
          <w:sz w:val="28"/>
          <w:szCs w:val="28"/>
          <w:highlight w:val="none"/>
          <w:lang w:eastAsia="zh-CN"/>
        </w:rPr>
        <w:t>（详见附件）</w:t>
      </w:r>
    </w:p>
    <w:p w14:paraId="6ED28B7F">
      <w:pPr>
        <w:ind w:firstLine="560" w:firstLineChars="200"/>
        <w:rPr>
          <w:rFonts w:hint="eastAsia" w:ascii="仿宋_GB2312" w:eastAsia="仿宋_GB2312"/>
          <w:sz w:val="28"/>
          <w:szCs w:val="28"/>
        </w:rPr>
      </w:pPr>
      <w:bookmarkStart w:id="9" w:name="_Toc487981729"/>
      <w:r>
        <w:rPr>
          <w:rFonts w:hint="eastAsia" w:ascii="仿宋_GB2312" w:eastAsia="仿宋_GB2312"/>
          <w:sz w:val="28"/>
          <w:szCs w:val="28"/>
        </w:rPr>
        <w:t>（一）项目概况</w:t>
      </w:r>
      <w:bookmarkEnd w:id="9"/>
    </w:p>
    <w:p w14:paraId="0F326B86">
      <w:pPr>
        <w:ind w:firstLine="560" w:firstLineChars="200"/>
        <w:rPr>
          <w:rFonts w:hint="eastAsia" w:ascii="仿宋_GB2312" w:eastAsia="仿宋_GB2312"/>
          <w:sz w:val="28"/>
          <w:szCs w:val="28"/>
        </w:rPr>
      </w:pPr>
      <w:r>
        <w:rPr>
          <w:rFonts w:hint="eastAsia" w:ascii="仿宋_GB2312" w:eastAsia="仿宋_GB2312"/>
          <w:sz w:val="28"/>
          <w:szCs w:val="28"/>
          <w:lang w:val="en-US" w:eastAsia="zh-CN"/>
        </w:rPr>
        <w:t>为做好辖区环境辖区秩序、接诉即办、疏整促专项及综合行政执法等工作任务，持续提升执法效能，陶然亭街道办事处通过政府购买服务方式聘请执法保安员，补充辖区内的执法力量，辅助执法队完成重点专项任务和日常工作。该项目为延续性项目，</w:t>
      </w:r>
      <w:r>
        <w:rPr>
          <w:rFonts w:hint="eastAsia" w:ascii="仿宋_GB2312" w:eastAsia="仿宋_GB2312"/>
          <w:sz w:val="28"/>
          <w:szCs w:val="28"/>
        </w:rPr>
        <w:t>由陶然亭街道综合行政执法队负责具体实施</w:t>
      </w:r>
      <w:r>
        <w:rPr>
          <w:rFonts w:hint="eastAsia" w:ascii="仿宋_GB2312" w:eastAsia="仿宋_GB2312"/>
          <w:sz w:val="28"/>
          <w:szCs w:val="28"/>
          <w:lang w:eastAsia="zh-CN"/>
        </w:rPr>
        <w:t>，</w:t>
      </w:r>
      <w:r>
        <w:rPr>
          <w:rFonts w:hint="eastAsia" w:ascii="仿宋_GB2312" w:eastAsia="仿宋_GB2312"/>
          <w:sz w:val="28"/>
          <w:szCs w:val="28"/>
          <w:lang w:val="en-US" w:eastAsia="zh-CN"/>
        </w:rPr>
        <w:t>2025</w:t>
      </w:r>
      <w:r>
        <w:rPr>
          <w:rFonts w:hint="eastAsia" w:ascii="仿宋_GB2312" w:eastAsia="仿宋_GB2312"/>
          <w:sz w:val="28"/>
          <w:szCs w:val="28"/>
        </w:rPr>
        <w:t>年度年初预算批复金额2</w:t>
      </w:r>
      <w:r>
        <w:rPr>
          <w:rFonts w:hint="eastAsia" w:ascii="仿宋_GB2312" w:eastAsia="仿宋_GB2312"/>
          <w:sz w:val="28"/>
          <w:szCs w:val="28"/>
          <w:lang w:val="en-US" w:eastAsia="zh-CN"/>
        </w:rPr>
        <w:t>,31</w:t>
      </w:r>
      <w:r>
        <w:rPr>
          <w:rFonts w:hint="eastAsia" w:ascii="仿宋_GB2312" w:eastAsia="仿宋_GB2312"/>
          <w:sz w:val="28"/>
          <w:szCs w:val="28"/>
        </w:rPr>
        <w:t>0</w:t>
      </w:r>
      <w:r>
        <w:rPr>
          <w:rFonts w:hint="eastAsia" w:ascii="仿宋_GB2312" w:eastAsia="仿宋_GB2312"/>
          <w:sz w:val="28"/>
          <w:szCs w:val="28"/>
          <w:lang w:val="en-US" w:eastAsia="zh-CN"/>
        </w:rPr>
        <w:t>,</w:t>
      </w:r>
      <w:r>
        <w:rPr>
          <w:rFonts w:hint="eastAsia" w:ascii="仿宋_GB2312" w:eastAsia="仿宋_GB2312"/>
          <w:sz w:val="28"/>
          <w:szCs w:val="28"/>
        </w:rPr>
        <w:t>000.00元，</w:t>
      </w:r>
      <w:r>
        <w:rPr>
          <w:rFonts w:hint="eastAsia" w:ascii="仿宋_GB2312" w:eastAsia="仿宋_GB2312"/>
          <w:sz w:val="28"/>
          <w:szCs w:val="28"/>
          <w:lang w:val="en-US" w:eastAsia="zh-CN"/>
        </w:rPr>
        <w:t>2025年9月</w:t>
      </w:r>
      <w:r>
        <w:rPr>
          <w:rFonts w:hint="eastAsia" w:ascii="仿宋_GB2312" w:eastAsia="仿宋_GB2312"/>
          <w:sz w:val="28"/>
          <w:szCs w:val="28"/>
        </w:rPr>
        <w:t>预算</w:t>
      </w:r>
      <w:r>
        <w:rPr>
          <w:rFonts w:hint="eastAsia" w:ascii="仿宋_GB2312" w:eastAsia="仿宋_GB2312"/>
          <w:sz w:val="28"/>
          <w:szCs w:val="28"/>
          <w:lang w:val="en-US" w:eastAsia="zh-CN"/>
        </w:rPr>
        <w:t>调增171,052</w:t>
      </w:r>
      <w:r>
        <w:rPr>
          <w:rFonts w:hint="eastAsia" w:ascii="仿宋_GB2312" w:eastAsia="仿宋_GB2312"/>
          <w:sz w:val="28"/>
          <w:szCs w:val="28"/>
        </w:rPr>
        <w:t>.</w:t>
      </w:r>
      <w:r>
        <w:rPr>
          <w:rFonts w:hint="eastAsia" w:ascii="仿宋_GB2312" w:eastAsia="仿宋_GB2312"/>
          <w:sz w:val="28"/>
          <w:szCs w:val="28"/>
          <w:lang w:val="en-US" w:eastAsia="zh-CN"/>
        </w:rPr>
        <w:t>2</w:t>
      </w:r>
      <w:r>
        <w:rPr>
          <w:rFonts w:hint="eastAsia" w:ascii="仿宋_GB2312" w:eastAsia="仿宋_GB2312"/>
          <w:sz w:val="28"/>
          <w:szCs w:val="28"/>
        </w:rPr>
        <w:t>0元，调整后</w:t>
      </w:r>
      <w:r>
        <w:rPr>
          <w:rFonts w:hint="eastAsia" w:ascii="仿宋_GB2312" w:eastAsia="仿宋_GB2312"/>
          <w:sz w:val="28"/>
          <w:szCs w:val="28"/>
          <w:lang w:val="en-US" w:eastAsia="zh-CN"/>
        </w:rPr>
        <w:t>年度</w:t>
      </w:r>
      <w:r>
        <w:rPr>
          <w:rFonts w:hint="eastAsia" w:ascii="仿宋_GB2312" w:eastAsia="仿宋_GB2312"/>
          <w:sz w:val="28"/>
          <w:szCs w:val="28"/>
        </w:rPr>
        <w:t>预算资金</w:t>
      </w:r>
      <w:r>
        <w:rPr>
          <w:rFonts w:hint="eastAsia" w:ascii="仿宋_GB2312" w:eastAsia="仿宋_GB2312"/>
          <w:sz w:val="28"/>
          <w:szCs w:val="28"/>
          <w:lang w:val="en-US" w:eastAsia="zh-CN"/>
        </w:rPr>
        <w:t>为2,481,052</w:t>
      </w:r>
      <w:r>
        <w:rPr>
          <w:rFonts w:hint="eastAsia" w:ascii="仿宋_GB2312" w:eastAsia="仿宋_GB2312"/>
          <w:sz w:val="28"/>
          <w:szCs w:val="28"/>
        </w:rPr>
        <w:t>.</w:t>
      </w:r>
      <w:r>
        <w:rPr>
          <w:rFonts w:hint="eastAsia" w:ascii="仿宋_GB2312" w:eastAsia="仿宋_GB2312"/>
          <w:sz w:val="28"/>
          <w:szCs w:val="28"/>
          <w:lang w:val="en-US" w:eastAsia="zh-CN"/>
        </w:rPr>
        <w:t>5</w:t>
      </w:r>
      <w:r>
        <w:rPr>
          <w:rFonts w:hint="eastAsia" w:ascii="仿宋_GB2312" w:eastAsia="仿宋_GB2312"/>
          <w:sz w:val="28"/>
          <w:szCs w:val="28"/>
        </w:rPr>
        <w:t>0元；</w:t>
      </w:r>
      <w:r>
        <w:rPr>
          <w:rFonts w:hint="eastAsia" w:ascii="仿宋_GB2312" w:eastAsia="仿宋_GB2312"/>
          <w:sz w:val="28"/>
          <w:szCs w:val="28"/>
          <w:lang w:val="en-US" w:eastAsia="zh-CN"/>
        </w:rPr>
        <w:t>2025</w:t>
      </w:r>
      <w:r>
        <w:rPr>
          <w:rFonts w:hint="eastAsia" w:ascii="仿宋_GB2312" w:eastAsia="仿宋_GB2312"/>
          <w:sz w:val="28"/>
          <w:szCs w:val="28"/>
        </w:rPr>
        <w:t>年度</w:t>
      </w:r>
      <w:r>
        <w:rPr>
          <w:rFonts w:hint="eastAsia" w:ascii="仿宋_GB2312" w:eastAsia="仿宋_GB2312"/>
          <w:sz w:val="28"/>
          <w:szCs w:val="28"/>
          <w:lang w:val="en-US" w:eastAsia="zh-CN"/>
        </w:rPr>
        <w:t>该项目共计</w:t>
      </w:r>
      <w:r>
        <w:rPr>
          <w:rFonts w:hint="eastAsia" w:ascii="仿宋_GB2312" w:eastAsia="仿宋_GB2312"/>
          <w:sz w:val="28"/>
          <w:szCs w:val="28"/>
        </w:rPr>
        <w:t>支出</w:t>
      </w:r>
      <w:r>
        <w:rPr>
          <w:rFonts w:hint="eastAsia" w:ascii="仿宋_GB2312" w:eastAsia="仿宋_GB2312"/>
          <w:sz w:val="28"/>
          <w:szCs w:val="28"/>
          <w:lang w:val="en-US" w:eastAsia="zh-CN"/>
        </w:rPr>
        <w:t>2,481,052</w:t>
      </w:r>
      <w:r>
        <w:rPr>
          <w:rFonts w:hint="eastAsia" w:ascii="仿宋_GB2312" w:eastAsia="仿宋_GB2312"/>
          <w:sz w:val="28"/>
          <w:szCs w:val="28"/>
        </w:rPr>
        <w:t>.</w:t>
      </w:r>
      <w:r>
        <w:rPr>
          <w:rFonts w:hint="eastAsia" w:ascii="仿宋_GB2312" w:eastAsia="仿宋_GB2312"/>
          <w:sz w:val="28"/>
          <w:szCs w:val="28"/>
          <w:lang w:val="en-US" w:eastAsia="zh-CN"/>
        </w:rPr>
        <w:t>5</w:t>
      </w:r>
      <w:r>
        <w:rPr>
          <w:rFonts w:hint="eastAsia" w:ascii="仿宋_GB2312" w:eastAsia="仿宋_GB2312"/>
          <w:sz w:val="28"/>
          <w:szCs w:val="28"/>
        </w:rPr>
        <w:t>0元，</w:t>
      </w:r>
      <w:r>
        <w:rPr>
          <w:rFonts w:hint="eastAsia" w:ascii="仿宋_GB2312" w:eastAsia="仿宋_GB2312"/>
          <w:sz w:val="28"/>
          <w:szCs w:val="28"/>
          <w:lang w:val="en-US" w:eastAsia="zh-CN"/>
        </w:rPr>
        <w:t>其中用于结算2024年度合同款648,000.00元，支付2025年度合同款1,833,052.50元，年末</w:t>
      </w:r>
      <w:r>
        <w:rPr>
          <w:rFonts w:hint="eastAsia" w:ascii="仿宋_GB2312" w:eastAsia="仿宋_GB2312"/>
          <w:sz w:val="28"/>
          <w:szCs w:val="28"/>
        </w:rPr>
        <w:t>结余资金0.00元</w:t>
      </w:r>
      <w:r>
        <w:rPr>
          <w:rFonts w:hint="eastAsia" w:ascii="仿宋_GB2312" w:eastAsia="仿宋_GB2312"/>
          <w:sz w:val="28"/>
          <w:szCs w:val="28"/>
          <w:lang w:eastAsia="zh-CN"/>
        </w:rPr>
        <w:t>，</w:t>
      </w:r>
      <w:r>
        <w:rPr>
          <w:rFonts w:hint="eastAsia" w:ascii="仿宋_GB2312" w:eastAsia="仿宋_GB2312"/>
          <w:sz w:val="28"/>
          <w:szCs w:val="28"/>
          <w:lang w:val="en-US" w:eastAsia="zh-CN"/>
        </w:rPr>
        <w:t>项目</w:t>
      </w:r>
      <w:r>
        <w:rPr>
          <w:rFonts w:hint="eastAsia" w:ascii="仿宋_GB2312" w:eastAsia="仿宋_GB2312"/>
          <w:sz w:val="28"/>
          <w:szCs w:val="28"/>
        </w:rPr>
        <w:t>预算执行率为100%。</w:t>
      </w:r>
    </w:p>
    <w:p w14:paraId="09F0A479">
      <w:pPr>
        <w:ind w:firstLine="560" w:firstLineChars="200"/>
        <w:rPr>
          <w:rFonts w:hint="eastAsia" w:ascii="仿宋_GB2312" w:eastAsia="仿宋_GB2312"/>
          <w:sz w:val="28"/>
          <w:szCs w:val="28"/>
        </w:rPr>
      </w:pPr>
      <w:bookmarkStart w:id="10" w:name="_Toc1001340710"/>
      <w:r>
        <w:rPr>
          <w:rFonts w:hint="eastAsia" w:ascii="仿宋_GB2312" w:eastAsia="仿宋_GB2312"/>
          <w:sz w:val="28"/>
          <w:szCs w:val="28"/>
        </w:rPr>
        <w:t>（二）项目绩效目标</w:t>
      </w:r>
      <w:bookmarkEnd w:id="10"/>
    </w:p>
    <w:p w14:paraId="5C22E029">
      <w:pPr>
        <w:ind w:firstLine="560" w:firstLineChars="200"/>
        <w:rPr>
          <w:rFonts w:hint="eastAsia" w:ascii="仿宋_GB2312" w:eastAsia="仿宋_GB2312"/>
          <w:sz w:val="28"/>
          <w:szCs w:val="28"/>
        </w:rPr>
      </w:pPr>
      <w:r>
        <w:rPr>
          <w:rFonts w:hint="eastAsia" w:ascii="仿宋_GB2312" w:eastAsia="仿宋_GB2312"/>
          <w:sz w:val="28"/>
          <w:szCs w:val="28"/>
        </w:rPr>
        <w:t>项目总体目标为：为深入落实辖区环境秩序管控、接诉即办、违建拆除等工作任务，持续提升综合执法效能，结合执法队员短缺的实际，街道综合行政执法队特申请保安服务，旨在及时有效地补充执法力量，辅助执法队完成重点专项任务和日常工作。</w:t>
      </w:r>
    </w:p>
    <w:p w14:paraId="789CBF00">
      <w:pPr>
        <w:ind w:firstLine="560" w:firstLineChars="200"/>
        <w:rPr>
          <w:rFonts w:hint="eastAsia" w:ascii="仿宋_GB2312" w:eastAsia="仿宋_GB2312"/>
          <w:sz w:val="28"/>
          <w:szCs w:val="28"/>
        </w:rPr>
      </w:pPr>
      <w:r>
        <w:rPr>
          <w:rFonts w:hint="eastAsia" w:ascii="仿宋_GB2312" w:eastAsia="仿宋_GB2312"/>
          <w:sz w:val="28"/>
          <w:szCs w:val="28"/>
        </w:rPr>
        <w:t>具体绩效指标为：</w:t>
      </w:r>
    </w:p>
    <w:p w14:paraId="394E1DBF">
      <w:pPr>
        <w:ind w:firstLine="560" w:firstLineChars="200"/>
        <w:rPr>
          <w:rFonts w:hint="eastAsia" w:ascii="仿宋_GB2312" w:eastAsia="仿宋_GB2312"/>
          <w:sz w:val="28"/>
          <w:szCs w:val="28"/>
        </w:rPr>
      </w:pPr>
      <w:r>
        <w:rPr>
          <w:rFonts w:hint="eastAsia" w:ascii="仿宋_GB2312" w:eastAsia="仿宋_GB2312"/>
          <w:sz w:val="28"/>
          <w:szCs w:val="28"/>
        </w:rPr>
        <w:t>1.产出数量指标：聘用保安人员35名</w:t>
      </w:r>
      <w:r>
        <w:rPr>
          <w:rFonts w:hint="eastAsia" w:ascii="仿宋_GB2312" w:eastAsia="仿宋_GB2312"/>
          <w:sz w:val="28"/>
          <w:szCs w:val="28"/>
          <w:lang w:eastAsia="zh-CN"/>
        </w:rPr>
        <w:t>，</w:t>
      </w:r>
      <w:r>
        <w:rPr>
          <w:rFonts w:hint="eastAsia" w:ascii="仿宋_GB2312" w:eastAsia="仿宋_GB2312"/>
          <w:sz w:val="28"/>
          <w:szCs w:val="28"/>
          <w:lang w:val="en-US" w:eastAsia="zh-CN"/>
        </w:rPr>
        <w:t>指标值为：40人</w:t>
      </w:r>
      <w:r>
        <w:rPr>
          <w:rFonts w:hint="eastAsia" w:ascii="仿宋_GB2312" w:eastAsia="仿宋_GB2312"/>
          <w:sz w:val="28"/>
          <w:szCs w:val="28"/>
        </w:rPr>
        <w:t>。</w:t>
      </w:r>
    </w:p>
    <w:p w14:paraId="0DA93BB4">
      <w:pPr>
        <w:ind w:firstLine="560" w:firstLineChars="200"/>
        <w:rPr>
          <w:rFonts w:hint="eastAsia" w:ascii="仿宋_GB2312" w:eastAsia="仿宋_GB2312"/>
          <w:sz w:val="28"/>
          <w:szCs w:val="28"/>
        </w:rPr>
      </w:pPr>
      <w:r>
        <w:rPr>
          <w:rFonts w:hint="eastAsia" w:ascii="仿宋_GB2312" w:eastAsia="仿宋_GB2312"/>
          <w:sz w:val="28"/>
          <w:szCs w:val="28"/>
        </w:rPr>
        <w:t>2.产出质量指标：有效补充执法辅助力量</w:t>
      </w:r>
      <w:r>
        <w:rPr>
          <w:rFonts w:hint="eastAsia" w:ascii="仿宋_GB2312" w:eastAsia="仿宋_GB2312"/>
          <w:sz w:val="28"/>
          <w:szCs w:val="28"/>
          <w:lang w:eastAsia="zh-CN"/>
        </w:rPr>
        <w:t>，</w:t>
      </w:r>
      <w:r>
        <w:rPr>
          <w:rFonts w:hint="eastAsia" w:ascii="仿宋_GB2312" w:eastAsia="仿宋_GB2312"/>
          <w:sz w:val="28"/>
          <w:szCs w:val="28"/>
          <w:lang w:val="en-US" w:eastAsia="zh-CN"/>
        </w:rPr>
        <w:t>指标值为：优</w:t>
      </w:r>
      <w:r>
        <w:rPr>
          <w:rFonts w:hint="eastAsia" w:ascii="仿宋_GB2312" w:eastAsia="仿宋_GB2312"/>
          <w:sz w:val="28"/>
          <w:szCs w:val="28"/>
        </w:rPr>
        <w:t>。</w:t>
      </w:r>
    </w:p>
    <w:p w14:paraId="49B26F2F">
      <w:pPr>
        <w:ind w:firstLine="560" w:firstLineChars="200"/>
        <w:rPr>
          <w:rFonts w:hint="eastAsia" w:ascii="仿宋_GB2312" w:eastAsia="仿宋_GB2312"/>
          <w:sz w:val="28"/>
          <w:szCs w:val="28"/>
        </w:rPr>
      </w:pPr>
      <w:r>
        <w:rPr>
          <w:rFonts w:hint="eastAsia" w:ascii="仿宋_GB2312" w:eastAsia="仿宋_GB2312"/>
          <w:sz w:val="28"/>
          <w:szCs w:val="28"/>
        </w:rPr>
        <w:t>3.产出时效指标：依据合同约定，按时支付保安服务费</w:t>
      </w:r>
      <w:r>
        <w:rPr>
          <w:rFonts w:hint="eastAsia" w:ascii="仿宋_GB2312" w:eastAsia="仿宋_GB2312"/>
          <w:sz w:val="28"/>
          <w:szCs w:val="28"/>
          <w:lang w:eastAsia="zh-CN"/>
        </w:rPr>
        <w:t>，</w:t>
      </w:r>
      <w:r>
        <w:rPr>
          <w:rFonts w:hint="eastAsia" w:ascii="仿宋_GB2312" w:eastAsia="仿宋_GB2312"/>
          <w:sz w:val="28"/>
          <w:szCs w:val="28"/>
          <w:lang w:val="en-US" w:eastAsia="zh-CN"/>
        </w:rPr>
        <w:t>指标值为：4次</w:t>
      </w:r>
      <w:r>
        <w:rPr>
          <w:rFonts w:hint="eastAsia" w:ascii="仿宋_GB2312" w:eastAsia="仿宋_GB2312"/>
          <w:sz w:val="28"/>
          <w:szCs w:val="28"/>
        </w:rPr>
        <w:t>。</w:t>
      </w:r>
    </w:p>
    <w:p w14:paraId="06E3AF80">
      <w:pPr>
        <w:ind w:firstLine="560" w:firstLineChars="200"/>
        <w:rPr>
          <w:rFonts w:hint="eastAsia" w:ascii="仿宋_GB2312" w:eastAsia="仿宋_GB2312"/>
          <w:sz w:val="28"/>
          <w:szCs w:val="28"/>
        </w:rPr>
      </w:pPr>
      <w:r>
        <w:rPr>
          <w:rFonts w:hint="eastAsia" w:ascii="仿宋_GB2312" w:eastAsia="仿宋_GB2312"/>
          <w:sz w:val="28"/>
          <w:szCs w:val="28"/>
          <w:lang w:val="en-US" w:eastAsia="zh-CN"/>
        </w:rPr>
        <w:t>4</w:t>
      </w:r>
      <w:r>
        <w:rPr>
          <w:rFonts w:hint="eastAsia" w:ascii="仿宋_GB2312" w:eastAsia="仿宋_GB2312"/>
          <w:sz w:val="28"/>
          <w:szCs w:val="28"/>
        </w:rPr>
        <w:t>.社会效益指标：有序开展执法辅助工作</w:t>
      </w:r>
      <w:r>
        <w:rPr>
          <w:rFonts w:hint="eastAsia" w:ascii="仿宋_GB2312" w:eastAsia="仿宋_GB2312"/>
          <w:sz w:val="28"/>
          <w:szCs w:val="28"/>
          <w:lang w:eastAsia="zh-CN"/>
        </w:rPr>
        <w:t>，</w:t>
      </w:r>
      <w:r>
        <w:rPr>
          <w:rFonts w:hint="eastAsia" w:ascii="仿宋_GB2312" w:eastAsia="仿宋_GB2312"/>
          <w:sz w:val="28"/>
          <w:szCs w:val="28"/>
          <w:lang w:val="en-US" w:eastAsia="zh-CN"/>
        </w:rPr>
        <w:t>指标值为：优</w:t>
      </w:r>
      <w:r>
        <w:rPr>
          <w:rFonts w:hint="eastAsia" w:ascii="仿宋_GB2312" w:eastAsia="仿宋_GB2312"/>
          <w:sz w:val="28"/>
          <w:szCs w:val="28"/>
        </w:rPr>
        <w:t>。</w:t>
      </w:r>
    </w:p>
    <w:p w14:paraId="5DD8B71C">
      <w:pPr>
        <w:ind w:firstLine="560" w:firstLineChars="200"/>
        <w:rPr>
          <w:rFonts w:hint="eastAsia" w:ascii="仿宋_GB2312" w:eastAsia="仿宋_GB2312"/>
          <w:sz w:val="28"/>
          <w:szCs w:val="28"/>
        </w:rPr>
      </w:pPr>
      <w:r>
        <w:rPr>
          <w:rFonts w:hint="eastAsia" w:ascii="仿宋_GB2312" w:eastAsia="仿宋_GB2312"/>
          <w:sz w:val="28"/>
          <w:szCs w:val="28"/>
          <w:lang w:val="en-US" w:eastAsia="zh-CN"/>
        </w:rPr>
        <w:t>5</w:t>
      </w:r>
      <w:r>
        <w:rPr>
          <w:rFonts w:hint="eastAsia" w:ascii="仿宋_GB2312" w:eastAsia="仿宋_GB2312"/>
          <w:sz w:val="28"/>
          <w:szCs w:val="28"/>
        </w:rPr>
        <w:t>.服务对象满意度指标：执法人员满意度</w:t>
      </w:r>
      <w:r>
        <w:rPr>
          <w:rFonts w:hint="eastAsia" w:ascii="仿宋_GB2312" w:eastAsia="仿宋_GB2312"/>
          <w:sz w:val="28"/>
          <w:szCs w:val="28"/>
          <w:lang w:eastAsia="zh-CN"/>
        </w:rPr>
        <w:t>，</w:t>
      </w:r>
      <w:r>
        <w:rPr>
          <w:rFonts w:hint="eastAsia" w:ascii="仿宋_GB2312" w:eastAsia="仿宋_GB2312"/>
          <w:sz w:val="28"/>
          <w:szCs w:val="28"/>
          <w:lang w:val="en-US" w:eastAsia="zh-CN"/>
        </w:rPr>
        <w:t>指标值为：≥</w:t>
      </w:r>
      <w:r>
        <w:rPr>
          <w:rFonts w:hint="eastAsia" w:ascii="仿宋_GB2312" w:eastAsia="仿宋_GB2312"/>
          <w:sz w:val="28"/>
          <w:szCs w:val="28"/>
        </w:rPr>
        <w:t>98%。</w:t>
      </w:r>
    </w:p>
    <w:p w14:paraId="10B99BD1">
      <w:pPr>
        <w:ind w:firstLine="560" w:firstLineChars="200"/>
        <w:rPr>
          <w:rFonts w:hint="eastAsia" w:ascii="仿宋_GB2312" w:eastAsia="仿宋_GB2312"/>
          <w:sz w:val="28"/>
          <w:szCs w:val="28"/>
        </w:rPr>
      </w:pPr>
      <w:bookmarkStart w:id="11" w:name="_Toc536547957"/>
      <w:r>
        <w:rPr>
          <w:rFonts w:hint="eastAsia" w:ascii="仿宋_GB2312" w:eastAsia="仿宋_GB2312"/>
          <w:sz w:val="28"/>
          <w:szCs w:val="28"/>
          <w:lang w:eastAsia="zh-CN"/>
        </w:rPr>
        <w:t>（三）</w:t>
      </w:r>
      <w:r>
        <w:rPr>
          <w:rFonts w:hint="eastAsia" w:ascii="仿宋_GB2312" w:eastAsia="仿宋_GB2312"/>
          <w:sz w:val="28"/>
          <w:szCs w:val="28"/>
        </w:rPr>
        <w:t>综合评价情况及评价结论</w:t>
      </w:r>
      <w:bookmarkEnd w:id="11"/>
    </w:p>
    <w:p w14:paraId="7FF7BDDF">
      <w:pPr>
        <w:ind w:firstLine="560" w:firstLineChars="200"/>
        <w:rPr>
          <w:rFonts w:hint="eastAsia" w:ascii="仿宋_GB2312" w:eastAsia="仿宋_GB2312"/>
          <w:sz w:val="28"/>
          <w:szCs w:val="28"/>
        </w:rPr>
      </w:pPr>
      <w:r>
        <w:rPr>
          <w:rFonts w:hint="eastAsia" w:ascii="仿宋_GB2312" w:eastAsia="仿宋_GB2312"/>
          <w:sz w:val="28"/>
          <w:szCs w:val="28"/>
          <w:lang w:val="en-US" w:eastAsia="zh-CN"/>
        </w:rPr>
        <w:t>1.</w:t>
      </w:r>
      <w:r>
        <w:rPr>
          <w:rFonts w:hint="eastAsia" w:ascii="仿宋_GB2312" w:eastAsia="仿宋_GB2312"/>
          <w:sz w:val="28"/>
          <w:szCs w:val="28"/>
        </w:rPr>
        <w:t>综合评价情况</w:t>
      </w:r>
    </w:p>
    <w:p w14:paraId="00955364">
      <w:pPr>
        <w:ind w:firstLine="560" w:firstLineChars="200"/>
        <w:rPr>
          <w:rFonts w:hint="eastAsia"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w:t>
      </w:r>
      <w:r>
        <w:rPr>
          <w:rFonts w:hint="eastAsia" w:ascii="仿宋_GB2312" w:eastAsia="仿宋_GB2312"/>
          <w:sz w:val="28"/>
          <w:szCs w:val="28"/>
          <w:lang w:eastAsia="zh-CN"/>
        </w:rPr>
        <w:t>保安协管员经费</w:t>
      </w:r>
      <w:r>
        <w:rPr>
          <w:rFonts w:hint="eastAsia" w:ascii="仿宋_GB2312" w:eastAsia="仿宋_GB2312"/>
          <w:sz w:val="28"/>
          <w:szCs w:val="28"/>
        </w:rPr>
        <w:t>”立项依据充分，项目资金使用和管理符合本单位财务及内控管理制度的规定。项目实施后，有效补充了街道综合行政执法力量，保障了辖区环境秩序管控、接诉即办、拆违等各项工作的顺利开展，取得了预期的社会效益和较高的服务对象满意度。但在项目执行过程中，存在</w:t>
      </w:r>
      <w:r>
        <w:rPr>
          <w:rFonts w:hint="eastAsia" w:ascii="仿宋_GB2312" w:eastAsia="仿宋_GB2312"/>
          <w:sz w:val="28"/>
          <w:szCs w:val="28"/>
          <w:lang w:val="en-US" w:eastAsia="zh-CN"/>
        </w:rPr>
        <w:t>绩效指标设定不够合理以及两个年度间的业务</w:t>
      </w:r>
      <w:r>
        <w:rPr>
          <w:rFonts w:hint="eastAsia" w:ascii="仿宋_GB2312" w:eastAsia="仿宋_GB2312"/>
          <w:sz w:val="28"/>
          <w:szCs w:val="28"/>
        </w:rPr>
        <w:t>合同</w:t>
      </w:r>
      <w:r>
        <w:rPr>
          <w:rFonts w:hint="eastAsia" w:ascii="仿宋_GB2312" w:eastAsia="仿宋_GB2312"/>
          <w:sz w:val="28"/>
          <w:szCs w:val="28"/>
          <w:lang w:val="en-US" w:eastAsia="zh-CN"/>
        </w:rPr>
        <w:t>前后</w:t>
      </w:r>
      <w:r>
        <w:rPr>
          <w:rFonts w:hint="eastAsia" w:ascii="仿宋_GB2312" w:eastAsia="仿宋_GB2312"/>
          <w:sz w:val="28"/>
          <w:szCs w:val="28"/>
        </w:rPr>
        <w:t>衔接不畅</w:t>
      </w:r>
      <w:r>
        <w:rPr>
          <w:rFonts w:hint="eastAsia" w:ascii="仿宋_GB2312" w:eastAsia="仿宋_GB2312"/>
          <w:sz w:val="28"/>
          <w:szCs w:val="28"/>
          <w:lang w:val="en-US" w:eastAsia="zh-CN"/>
        </w:rPr>
        <w:t>的问题</w:t>
      </w:r>
      <w:r>
        <w:rPr>
          <w:rFonts w:hint="eastAsia" w:ascii="仿宋_GB2312" w:eastAsia="仿宋_GB2312"/>
          <w:sz w:val="28"/>
          <w:szCs w:val="28"/>
        </w:rPr>
        <w:t>。</w:t>
      </w:r>
    </w:p>
    <w:p w14:paraId="3CD6CD26">
      <w:pPr>
        <w:ind w:firstLine="560" w:firstLineChars="200"/>
        <w:rPr>
          <w:rFonts w:hint="eastAsia" w:ascii="仿宋_GB2312" w:eastAsia="仿宋_GB2312"/>
          <w:sz w:val="28"/>
          <w:szCs w:val="28"/>
        </w:rPr>
      </w:pPr>
      <w:r>
        <w:rPr>
          <w:rFonts w:hint="eastAsia" w:ascii="仿宋_GB2312" w:eastAsia="仿宋_GB2312"/>
          <w:sz w:val="28"/>
          <w:szCs w:val="28"/>
          <w:lang w:val="en-US" w:eastAsia="zh-CN"/>
        </w:rPr>
        <w:t>2.</w:t>
      </w:r>
      <w:r>
        <w:rPr>
          <w:rFonts w:hint="eastAsia" w:ascii="仿宋_GB2312" w:eastAsia="仿宋_GB2312"/>
          <w:sz w:val="28"/>
          <w:szCs w:val="28"/>
        </w:rPr>
        <w:t>评价结论</w:t>
      </w:r>
    </w:p>
    <w:p w14:paraId="72C9DCB2">
      <w:pPr>
        <w:ind w:firstLine="560" w:firstLineChars="200"/>
        <w:rPr>
          <w:rFonts w:hint="eastAsia" w:ascii="仿宋_GB2312" w:eastAsia="仿宋_GB2312"/>
          <w:sz w:val="28"/>
          <w:szCs w:val="28"/>
          <w:lang w:eastAsia="zh-CN"/>
        </w:rPr>
      </w:pPr>
      <w:bookmarkStart w:id="12" w:name="_Toc169183194"/>
      <w:r>
        <w:rPr>
          <w:rFonts w:hint="eastAsia" w:ascii="仿宋_GB2312" w:eastAsia="仿宋_GB2312"/>
          <w:sz w:val="28"/>
          <w:szCs w:val="28"/>
        </w:rPr>
        <w:t>陶然亭街道办事处2025年度“保安协管员经费”项目评价金额2</w:t>
      </w:r>
      <w:r>
        <w:rPr>
          <w:rFonts w:hint="eastAsia" w:ascii="仿宋_GB2312" w:eastAsia="仿宋_GB2312"/>
          <w:sz w:val="28"/>
          <w:szCs w:val="28"/>
          <w:lang w:val="en-US" w:eastAsia="zh-CN"/>
        </w:rPr>
        <w:t>,</w:t>
      </w:r>
      <w:r>
        <w:rPr>
          <w:rFonts w:hint="eastAsia" w:ascii="仿宋_GB2312" w:eastAsia="仿宋_GB2312"/>
          <w:sz w:val="28"/>
          <w:szCs w:val="28"/>
        </w:rPr>
        <w:t>481</w:t>
      </w:r>
      <w:r>
        <w:rPr>
          <w:rFonts w:hint="eastAsia" w:ascii="仿宋_GB2312" w:eastAsia="仿宋_GB2312"/>
          <w:sz w:val="28"/>
          <w:szCs w:val="28"/>
          <w:lang w:val="en-US" w:eastAsia="zh-CN"/>
        </w:rPr>
        <w:t>,</w:t>
      </w:r>
      <w:r>
        <w:rPr>
          <w:rFonts w:hint="eastAsia" w:ascii="仿宋_GB2312" w:eastAsia="仿宋_GB2312"/>
          <w:sz w:val="28"/>
          <w:szCs w:val="28"/>
        </w:rPr>
        <w:t>052.50元。经自评工作组评议，该项目绩效评价综合得分</w:t>
      </w:r>
      <w:r>
        <w:rPr>
          <w:rFonts w:hint="eastAsia" w:ascii="仿宋_GB2312" w:eastAsia="仿宋_GB2312"/>
          <w:sz w:val="28"/>
          <w:szCs w:val="28"/>
          <w:lang w:val="en-US" w:eastAsia="zh-CN"/>
        </w:rPr>
        <w:t>93.30</w:t>
      </w:r>
      <w:r>
        <w:rPr>
          <w:rFonts w:hint="eastAsia" w:ascii="仿宋_GB2312" w:eastAsia="仿宋_GB2312"/>
          <w:sz w:val="28"/>
          <w:szCs w:val="28"/>
        </w:rPr>
        <w:t>分，其中项目决策</w:t>
      </w:r>
      <w:r>
        <w:rPr>
          <w:rFonts w:hint="eastAsia" w:ascii="仿宋_GB2312" w:eastAsia="仿宋_GB2312"/>
          <w:sz w:val="28"/>
          <w:szCs w:val="28"/>
          <w:lang w:val="en-US" w:eastAsia="zh-CN"/>
        </w:rPr>
        <w:t>8</w:t>
      </w:r>
      <w:r>
        <w:rPr>
          <w:rFonts w:hint="eastAsia" w:ascii="仿宋_GB2312" w:eastAsia="仿宋_GB2312"/>
          <w:sz w:val="28"/>
          <w:szCs w:val="28"/>
        </w:rPr>
        <w:t>.</w:t>
      </w:r>
      <w:r>
        <w:rPr>
          <w:rFonts w:hint="eastAsia" w:ascii="仿宋_GB2312" w:eastAsia="仿宋_GB2312"/>
          <w:sz w:val="28"/>
          <w:szCs w:val="28"/>
          <w:lang w:val="en-US" w:eastAsia="zh-CN"/>
        </w:rPr>
        <w:t>80</w:t>
      </w:r>
      <w:r>
        <w:rPr>
          <w:rFonts w:hint="eastAsia" w:ascii="仿宋_GB2312" w:eastAsia="仿宋_GB2312"/>
          <w:sz w:val="28"/>
          <w:szCs w:val="28"/>
        </w:rPr>
        <w:t>分、项目过程</w:t>
      </w:r>
      <w:r>
        <w:rPr>
          <w:rFonts w:hint="eastAsia" w:ascii="仿宋_GB2312" w:eastAsia="仿宋_GB2312"/>
          <w:sz w:val="28"/>
          <w:szCs w:val="28"/>
          <w:lang w:val="en-US" w:eastAsia="zh-CN"/>
        </w:rPr>
        <w:t>23</w:t>
      </w:r>
      <w:r>
        <w:rPr>
          <w:rFonts w:hint="eastAsia" w:ascii="仿宋_GB2312" w:eastAsia="仿宋_GB2312"/>
          <w:sz w:val="28"/>
          <w:szCs w:val="28"/>
        </w:rPr>
        <w:t>.00分，项目产出</w:t>
      </w:r>
      <w:r>
        <w:rPr>
          <w:rFonts w:hint="eastAsia" w:ascii="仿宋_GB2312" w:eastAsia="仿宋_GB2312"/>
          <w:sz w:val="28"/>
          <w:szCs w:val="28"/>
          <w:lang w:val="en-US" w:eastAsia="zh-CN"/>
        </w:rPr>
        <w:t>38.5</w:t>
      </w:r>
      <w:r>
        <w:rPr>
          <w:rFonts w:hint="eastAsia" w:ascii="仿宋_GB2312" w:eastAsia="仿宋_GB2312"/>
          <w:sz w:val="28"/>
          <w:szCs w:val="28"/>
        </w:rPr>
        <w:t>分、项目效益2</w:t>
      </w:r>
      <w:r>
        <w:rPr>
          <w:rFonts w:hint="eastAsia" w:ascii="仿宋_GB2312" w:eastAsia="仿宋_GB2312"/>
          <w:sz w:val="28"/>
          <w:szCs w:val="28"/>
          <w:lang w:val="en-US" w:eastAsia="zh-CN"/>
        </w:rPr>
        <w:t>3</w:t>
      </w:r>
      <w:r>
        <w:rPr>
          <w:rFonts w:hint="eastAsia" w:ascii="仿宋_GB2312" w:eastAsia="仿宋_GB2312"/>
          <w:sz w:val="28"/>
          <w:szCs w:val="28"/>
        </w:rPr>
        <w:t>.00分，绩效评价级别评定为“优”</w:t>
      </w:r>
      <w:r>
        <w:rPr>
          <w:rFonts w:hint="eastAsia" w:ascii="仿宋_GB2312" w:eastAsia="仿宋_GB2312"/>
          <w:sz w:val="28"/>
          <w:szCs w:val="28"/>
          <w:lang w:eastAsia="zh-CN"/>
        </w:rPr>
        <w:t>。</w:t>
      </w:r>
    </w:p>
    <w:bookmarkEnd w:id="12"/>
    <w:p w14:paraId="5C566BB3">
      <w:pPr>
        <w:ind w:firstLine="560" w:firstLineChars="200"/>
        <w:rPr>
          <w:rFonts w:hint="eastAsia" w:ascii="仿宋_GB2312" w:eastAsia="仿宋_GB2312"/>
          <w:sz w:val="28"/>
          <w:szCs w:val="28"/>
        </w:rPr>
      </w:pPr>
      <w:bookmarkStart w:id="13" w:name="_Toc1123896999"/>
      <w:r>
        <w:rPr>
          <w:rFonts w:hint="eastAsia" w:ascii="仿宋_GB2312" w:eastAsia="仿宋_GB2312"/>
          <w:sz w:val="28"/>
          <w:szCs w:val="28"/>
          <w:lang w:eastAsia="zh-CN"/>
        </w:rPr>
        <w:t>（四）</w:t>
      </w:r>
      <w:r>
        <w:rPr>
          <w:rFonts w:hint="eastAsia" w:ascii="仿宋_GB2312" w:eastAsia="仿宋_GB2312"/>
          <w:sz w:val="28"/>
          <w:szCs w:val="28"/>
        </w:rPr>
        <w:t>绩效评价分析</w:t>
      </w:r>
      <w:bookmarkEnd w:id="13"/>
    </w:p>
    <w:p w14:paraId="1D468B66">
      <w:pPr>
        <w:ind w:firstLine="560" w:firstLineChars="200"/>
        <w:rPr>
          <w:rFonts w:hint="eastAsia" w:ascii="仿宋_GB2312" w:eastAsia="仿宋_GB2312"/>
          <w:sz w:val="28"/>
          <w:szCs w:val="28"/>
        </w:rPr>
      </w:pPr>
      <w:bookmarkStart w:id="14" w:name="_Toc1934206191"/>
      <w:r>
        <w:rPr>
          <w:rFonts w:hint="eastAsia" w:ascii="仿宋_GB2312" w:eastAsia="仿宋_GB2312"/>
          <w:sz w:val="28"/>
          <w:szCs w:val="28"/>
          <w:lang w:val="en-US" w:eastAsia="zh-CN"/>
        </w:rPr>
        <w:t>1.</w:t>
      </w:r>
      <w:r>
        <w:rPr>
          <w:rFonts w:hint="eastAsia" w:ascii="仿宋_GB2312" w:eastAsia="仿宋_GB2312"/>
          <w:sz w:val="28"/>
          <w:szCs w:val="28"/>
        </w:rPr>
        <w:t>项目决策情况</w:t>
      </w:r>
      <w:bookmarkEnd w:id="14"/>
    </w:p>
    <w:p w14:paraId="6E949862">
      <w:pPr>
        <w:ind w:firstLine="560" w:firstLineChars="200"/>
        <w:rPr>
          <w:rFonts w:hint="eastAsia" w:ascii="仿宋_GB2312" w:eastAsia="仿宋_GB2312"/>
          <w:sz w:val="28"/>
          <w:szCs w:val="28"/>
        </w:rPr>
      </w:pPr>
      <w:r>
        <w:rPr>
          <w:rFonts w:hint="eastAsia" w:ascii="仿宋_GB2312" w:eastAsia="仿宋_GB2312"/>
          <w:sz w:val="28"/>
          <w:szCs w:val="28"/>
        </w:rPr>
        <w:t>2025年度“保安协管员经费”旨在弥补执法力量不足，保障辖区城市管理各项工作有序推进。</w:t>
      </w:r>
      <w:r>
        <w:rPr>
          <w:rFonts w:hint="eastAsia" w:ascii="仿宋_GB2312" w:eastAsia="仿宋_GB2312"/>
          <w:sz w:val="28"/>
          <w:szCs w:val="28"/>
          <w:lang w:val="en-US" w:eastAsia="zh-CN"/>
        </w:rPr>
        <w:t>项目</w:t>
      </w:r>
      <w:r>
        <w:rPr>
          <w:rFonts w:hint="eastAsia" w:ascii="仿宋_GB2312" w:eastAsia="仿宋_GB2312"/>
          <w:sz w:val="28"/>
          <w:szCs w:val="28"/>
        </w:rPr>
        <w:t>立项</w:t>
      </w:r>
      <w:r>
        <w:rPr>
          <w:rFonts w:hint="eastAsia" w:ascii="仿宋_GB2312" w:eastAsia="仿宋_GB2312"/>
          <w:sz w:val="28"/>
          <w:szCs w:val="28"/>
          <w:lang w:val="en-US" w:eastAsia="zh-CN"/>
        </w:rPr>
        <w:t>结合了</w:t>
      </w:r>
      <w:r>
        <w:rPr>
          <w:rFonts w:hint="eastAsia" w:ascii="仿宋_GB2312" w:eastAsia="仿宋_GB2312"/>
          <w:sz w:val="28"/>
          <w:szCs w:val="28"/>
        </w:rPr>
        <w:t>街道综合行政执法的工作需要</w:t>
      </w:r>
      <w:r>
        <w:rPr>
          <w:rFonts w:hint="eastAsia" w:ascii="仿宋_GB2312" w:eastAsia="仿宋_GB2312"/>
          <w:sz w:val="28"/>
          <w:szCs w:val="28"/>
          <w:lang w:val="en-US" w:eastAsia="zh-CN"/>
        </w:rPr>
        <w:t>以及执法队员短缺的现实状况，符合街道“</w:t>
      </w:r>
      <w:r>
        <w:rPr>
          <w:rFonts w:hint="eastAsia" w:ascii="仿宋_GB2312" w:eastAsia="仿宋_GB2312"/>
          <w:sz w:val="28"/>
          <w:szCs w:val="28"/>
        </w:rPr>
        <w:t>组织、协调城市管理综合执法和环境秩序综合治理工作，推进城市精细化管理</w:t>
      </w:r>
      <w:r>
        <w:rPr>
          <w:rFonts w:hint="eastAsia" w:ascii="仿宋_GB2312" w:eastAsia="仿宋_GB2312"/>
          <w:sz w:val="28"/>
          <w:szCs w:val="28"/>
          <w:lang w:eastAsia="zh-CN"/>
        </w:rPr>
        <w:t>”</w:t>
      </w:r>
      <w:r>
        <w:rPr>
          <w:rFonts w:hint="eastAsia" w:ascii="仿宋_GB2312" w:eastAsia="仿宋_GB2312"/>
          <w:sz w:val="28"/>
          <w:szCs w:val="28"/>
          <w:lang w:val="en-US" w:eastAsia="zh-CN"/>
        </w:rPr>
        <w:t>的职能职责</w:t>
      </w:r>
      <w:r>
        <w:rPr>
          <w:rFonts w:hint="eastAsia" w:ascii="仿宋_GB2312" w:eastAsia="仿宋_GB2312"/>
          <w:sz w:val="28"/>
          <w:szCs w:val="28"/>
        </w:rPr>
        <w:t xml:space="preserve"> </w:t>
      </w:r>
      <w:r>
        <w:rPr>
          <w:rFonts w:hint="eastAsia" w:ascii="仿宋_GB2312" w:eastAsia="仿宋_GB2312"/>
          <w:sz w:val="28"/>
          <w:szCs w:val="28"/>
          <w:lang w:eastAsia="zh-CN"/>
        </w:rPr>
        <w:t>，</w:t>
      </w:r>
      <w:r>
        <w:rPr>
          <w:rFonts w:hint="eastAsia" w:ascii="仿宋_GB2312" w:eastAsia="仿宋_GB2312"/>
          <w:sz w:val="28"/>
          <w:szCs w:val="28"/>
        </w:rPr>
        <w:t>项目立项及预算申报履行了内部决策程序，立项依据充分。项目绩效目标设定与实际工作内容高度相关，绩效指标</w:t>
      </w:r>
      <w:r>
        <w:rPr>
          <w:rFonts w:hint="eastAsia" w:ascii="仿宋_GB2312" w:eastAsia="仿宋_GB2312"/>
          <w:sz w:val="28"/>
          <w:szCs w:val="28"/>
          <w:lang w:val="en-US" w:eastAsia="zh-CN"/>
        </w:rPr>
        <w:t>较为量化、</w:t>
      </w:r>
      <w:r>
        <w:rPr>
          <w:rFonts w:hint="eastAsia" w:ascii="仿宋_GB2312" w:eastAsia="仿宋_GB2312"/>
          <w:sz w:val="28"/>
          <w:szCs w:val="28"/>
        </w:rPr>
        <w:t>清晰，资金预算编制与年度工作任务相匹配。</w:t>
      </w:r>
    </w:p>
    <w:p w14:paraId="3EB6513D">
      <w:pPr>
        <w:ind w:firstLine="560" w:firstLineChars="200"/>
        <w:rPr>
          <w:rFonts w:hint="eastAsia" w:ascii="仿宋_GB2312" w:eastAsia="仿宋_GB2312"/>
          <w:sz w:val="28"/>
          <w:szCs w:val="28"/>
        </w:rPr>
      </w:pPr>
      <w:bookmarkStart w:id="15" w:name="_Toc988987705"/>
      <w:r>
        <w:rPr>
          <w:rFonts w:hint="eastAsia" w:ascii="仿宋_GB2312" w:eastAsia="仿宋_GB2312"/>
          <w:sz w:val="28"/>
          <w:szCs w:val="28"/>
          <w:lang w:val="en-US" w:eastAsia="zh-CN"/>
        </w:rPr>
        <w:t>2.</w:t>
      </w:r>
      <w:r>
        <w:rPr>
          <w:rFonts w:hint="eastAsia" w:ascii="仿宋_GB2312" w:eastAsia="仿宋_GB2312"/>
          <w:sz w:val="28"/>
          <w:szCs w:val="28"/>
        </w:rPr>
        <w:t>项目过程情况</w:t>
      </w:r>
      <w:bookmarkEnd w:id="15"/>
    </w:p>
    <w:p w14:paraId="10F524FB">
      <w:pPr>
        <w:ind w:firstLine="560" w:firstLineChars="200"/>
        <w:rPr>
          <w:rFonts w:hint="eastAsia" w:ascii="仿宋_GB2312" w:eastAsia="仿宋_GB2312"/>
          <w:sz w:val="28"/>
          <w:szCs w:val="28"/>
        </w:rPr>
      </w:pPr>
      <w:r>
        <w:rPr>
          <w:rFonts w:hint="eastAsia" w:ascii="仿宋_GB2312" w:eastAsia="仿宋_GB2312"/>
          <w:sz w:val="28"/>
          <w:szCs w:val="28"/>
          <w:lang w:val="en-US" w:eastAsia="zh-CN"/>
        </w:rPr>
        <w:t>项目在</w:t>
      </w:r>
      <w:r>
        <w:rPr>
          <w:rFonts w:hint="eastAsia" w:ascii="仿宋_GB2312" w:eastAsia="仿宋_GB2312"/>
          <w:sz w:val="28"/>
          <w:szCs w:val="28"/>
        </w:rPr>
        <w:t>资金管理方面，严格执行</w:t>
      </w:r>
      <w:r>
        <w:rPr>
          <w:rFonts w:hint="eastAsia" w:ascii="仿宋_GB2312" w:eastAsia="仿宋_GB2312"/>
          <w:sz w:val="28"/>
          <w:szCs w:val="28"/>
          <w:lang w:val="en-US" w:eastAsia="zh-CN"/>
        </w:rPr>
        <w:t>陶然亭</w:t>
      </w:r>
      <w:r>
        <w:rPr>
          <w:rFonts w:hint="eastAsia" w:ascii="仿宋_GB2312" w:eastAsia="仿宋_GB2312"/>
          <w:sz w:val="28"/>
          <w:szCs w:val="28"/>
        </w:rPr>
        <w:t>街道</w:t>
      </w:r>
      <w:r>
        <w:rPr>
          <w:rFonts w:hint="eastAsia" w:ascii="仿宋_GB2312" w:eastAsia="仿宋_GB2312"/>
          <w:sz w:val="28"/>
          <w:szCs w:val="28"/>
          <w:lang w:val="en-US" w:eastAsia="zh-CN"/>
        </w:rPr>
        <w:t>办事处</w:t>
      </w:r>
      <w:r>
        <w:rPr>
          <w:rFonts w:hint="eastAsia" w:ascii="仿宋_GB2312" w:eastAsia="仿宋_GB2312"/>
          <w:sz w:val="28"/>
          <w:szCs w:val="28"/>
        </w:rPr>
        <w:t>《资金支出管理制度》，</w:t>
      </w:r>
      <w:r>
        <w:rPr>
          <w:rFonts w:hint="eastAsia" w:ascii="仿宋_GB2312" w:eastAsia="仿宋_GB2312"/>
          <w:sz w:val="28"/>
          <w:szCs w:val="28"/>
          <w:lang w:val="en-US" w:eastAsia="zh-CN"/>
        </w:rPr>
        <w:t>预算调整和</w:t>
      </w:r>
      <w:r>
        <w:rPr>
          <w:rFonts w:hint="eastAsia" w:ascii="仿宋_GB2312" w:eastAsia="仿宋_GB2312"/>
          <w:sz w:val="28"/>
          <w:szCs w:val="28"/>
        </w:rPr>
        <w:t>资金支付履行了</w:t>
      </w:r>
      <w:r>
        <w:rPr>
          <w:rFonts w:hint="eastAsia" w:ascii="仿宋_GB2312" w:eastAsia="仿宋_GB2312"/>
          <w:sz w:val="28"/>
          <w:szCs w:val="28"/>
          <w:lang w:val="en-US" w:eastAsia="zh-CN"/>
        </w:rPr>
        <w:t>规范、</w:t>
      </w:r>
      <w:r>
        <w:rPr>
          <w:rFonts w:hint="eastAsia" w:ascii="仿宋_GB2312" w:eastAsia="仿宋_GB2312"/>
          <w:sz w:val="28"/>
          <w:szCs w:val="28"/>
        </w:rPr>
        <w:t>完整的审批程序</w:t>
      </w:r>
      <w:r>
        <w:rPr>
          <w:rFonts w:hint="eastAsia" w:ascii="仿宋_GB2312" w:eastAsia="仿宋_GB2312"/>
          <w:sz w:val="28"/>
          <w:szCs w:val="28"/>
          <w:lang w:eastAsia="zh-CN"/>
        </w:rPr>
        <w:t>。</w:t>
      </w:r>
      <w:r>
        <w:rPr>
          <w:rFonts w:hint="eastAsia" w:ascii="仿宋_GB2312" w:eastAsia="仿宋_GB2312"/>
          <w:sz w:val="28"/>
          <w:szCs w:val="28"/>
          <w:lang w:val="en-US" w:eastAsia="zh-CN"/>
        </w:rPr>
        <w:t>项目资金依据服务供应商的服务数量和质量，经定期考核评价后按评分结果进行结算，资金用途和支付进度</w:t>
      </w:r>
      <w:r>
        <w:rPr>
          <w:rFonts w:hint="eastAsia" w:ascii="仿宋_GB2312" w:eastAsia="仿宋_GB2312"/>
          <w:sz w:val="28"/>
          <w:szCs w:val="28"/>
        </w:rPr>
        <w:t>符合合同约定</w:t>
      </w:r>
      <w:r>
        <w:rPr>
          <w:rFonts w:hint="eastAsia" w:ascii="仿宋_GB2312" w:eastAsia="仿宋_GB2312"/>
          <w:sz w:val="28"/>
          <w:szCs w:val="28"/>
          <w:lang w:val="en-US" w:eastAsia="zh-CN"/>
        </w:rPr>
        <w:t>。</w:t>
      </w:r>
      <w:r>
        <w:rPr>
          <w:rFonts w:hint="eastAsia" w:ascii="仿宋_GB2312" w:eastAsia="仿宋_GB2312"/>
          <w:sz w:val="28"/>
          <w:szCs w:val="28"/>
        </w:rPr>
        <w:t>未发现截留、挤占、挪用资金的情况。</w:t>
      </w:r>
    </w:p>
    <w:p w14:paraId="6F39C1D0">
      <w:pPr>
        <w:ind w:firstLine="560" w:firstLineChars="200"/>
        <w:rPr>
          <w:rFonts w:hint="eastAsia" w:ascii="仿宋_GB2312" w:eastAsia="仿宋_GB2312"/>
          <w:sz w:val="28"/>
          <w:szCs w:val="28"/>
        </w:rPr>
      </w:pPr>
      <w:r>
        <w:rPr>
          <w:rFonts w:hint="eastAsia" w:ascii="仿宋_GB2312" w:eastAsia="仿宋_GB2312"/>
          <w:sz w:val="28"/>
          <w:szCs w:val="28"/>
        </w:rPr>
        <w:t>项目</w:t>
      </w:r>
      <w:r>
        <w:rPr>
          <w:rFonts w:hint="eastAsia" w:ascii="仿宋_GB2312" w:eastAsia="仿宋_GB2312"/>
          <w:sz w:val="28"/>
          <w:szCs w:val="28"/>
          <w:lang w:val="en-US" w:eastAsia="zh-CN"/>
        </w:rPr>
        <w:t>在业务管理</w:t>
      </w:r>
      <w:r>
        <w:rPr>
          <w:rFonts w:hint="eastAsia" w:ascii="仿宋_GB2312" w:eastAsia="仿宋_GB2312"/>
          <w:sz w:val="28"/>
          <w:szCs w:val="28"/>
        </w:rPr>
        <w:t>方面，严格按照</w:t>
      </w:r>
      <w:r>
        <w:rPr>
          <w:rFonts w:hint="eastAsia" w:ascii="仿宋_GB2312" w:eastAsia="仿宋_GB2312"/>
          <w:sz w:val="28"/>
          <w:szCs w:val="28"/>
          <w:lang w:val="en-US" w:eastAsia="zh-CN"/>
        </w:rPr>
        <w:t>陶然亭街道办事处</w:t>
      </w:r>
      <w:r>
        <w:rPr>
          <w:rFonts w:hint="eastAsia" w:ascii="仿宋_GB2312" w:eastAsia="仿宋_GB2312"/>
          <w:sz w:val="28"/>
          <w:szCs w:val="28"/>
        </w:rPr>
        <w:t>《采购管理制度》《合同管理制度》等制度规定</w:t>
      </w:r>
      <w:r>
        <w:rPr>
          <w:rFonts w:hint="eastAsia" w:ascii="仿宋_GB2312" w:eastAsia="仿宋_GB2312"/>
          <w:sz w:val="28"/>
          <w:szCs w:val="28"/>
          <w:lang w:val="en-US" w:eastAsia="zh-CN"/>
        </w:rPr>
        <w:t>履行了采购和合同签订程序</w:t>
      </w:r>
      <w:r>
        <w:rPr>
          <w:rFonts w:hint="eastAsia" w:ascii="仿宋_GB2312" w:eastAsia="仿宋_GB2312"/>
          <w:sz w:val="28"/>
          <w:szCs w:val="28"/>
          <w:lang w:eastAsia="zh-CN"/>
        </w:rPr>
        <w:t>。</w:t>
      </w:r>
      <w:r>
        <w:rPr>
          <w:rFonts w:hint="eastAsia" w:ascii="仿宋_GB2312" w:eastAsia="仿宋_GB2312"/>
          <w:sz w:val="28"/>
          <w:szCs w:val="28"/>
          <w:lang w:val="en-US" w:eastAsia="zh-CN"/>
        </w:rPr>
        <w:t>2025年委托招投标机构采用</w:t>
      </w:r>
      <w:r>
        <w:rPr>
          <w:rFonts w:hint="eastAsia" w:ascii="仿宋_GB2312" w:eastAsia="仿宋_GB2312"/>
          <w:sz w:val="28"/>
          <w:szCs w:val="28"/>
        </w:rPr>
        <w:t>竞争性磋商方式确定</w:t>
      </w:r>
      <w:r>
        <w:rPr>
          <w:rFonts w:hint="eastAsia" w:ascii="仿宋_GB2312" w:eastAsia="仿宋_GB2312"/>
          <w:sz w:val="28"/>
          <w:szCs w:val="28"/>
          <w:lang w:val="en-US" w:eastAsia="zh-CN"/>
        </w:rPr>
        <w:t>北京金法保安服务有限公司为</w:t>
      </w:r>
      <w:r>
        <w:rPr>
          <w:rFonts w:hint="eastAsia" w:ascii="仿宋_GB2312" w:eastAsia="仿宋_GB2312"/>
          <w:sz w:val="28"/>
          <w:szCs w:val="28"/>
        </w:rPr>
        <w:t>服务供应商，签订了</w:t>
      </w:r>
      <w:r>
        <w:rPr>
          <w:rFonts w:hint="eastAsia" w:ascii="仿宋_GB2312" w:eastAsia="仿宋_GB2312"/>
          <w:sz w:val="28"/>
          <w:szCs w:val="28"/>
          <w:lang w:eastAsia="zh-CN"/>
        </w:rPr>
        <w:t>《</w:t>
      </w:r>
      <w:r>
        <w:rPr>
          <w:rFonts w:hint="eastAsia" w:ascii="仿宋_GB2312" w:eastAsia="仿宋_GB2312"/>
          <w:sz w:val="28"/>
          <w:szCs w:val="28"/>
          <w:lang w:val="en-US" w:eastAsia="zh-CN"/>
        </w:rPr>
        <w:t>陶然亭街道2025年综合行政执法队保安服务合同</w:t>
      </w:r>
      <w:r>
        <w:rPr>
          <w:rFonts w:hint="eastAsia" w:ascii="仿宋_GB2312" w:eastAsia="仿宋_GB2312"/>
          <w:sz w:val="28"/>
          <w:szCs w:val="28"/>
          <w:lang w:eastAsia="zh-CN"/>
        </w:rPr>
        <w:t>》，</w:t>
      </w:r>
      <w:r>
        <w:rPr>
          <w:rFonts w:hint="eastAsia" w:ascii="仿宋_GB2312" w:eastAsia="仿宋_GB2312"/>
          <w:sz w:val="28"/>
          <w:szCs w:val="28"/>
          <w:lang w:val="en-US" w:eastAsia="zh-CN"/>
        </w:rPr>
        <w:t>服务期限为2025年4月18日至2026年4月17日</w:t>
      </w:r>
      <w:r>
        <w:rPr>
          <w:rFonts w:hint="eastAsia" w:ascii="仿宋_GB2312" w:eastAsia="仿宋_GB2312"/>
          <w:sz w:val="28"/>
          <w:szCs w:val="28"/>
        </w:rPr>
        <w:t>。</w:t>
      </w:r>
      <w:r>
        <w:rPr>
          <w:rFonts w:hint="eastAsia" w:ascii="仿宋_GB2312" w:eastAsia="仿宋_GB2312"/>
          <w:sz w:val="28"/>
          <w:szCs w:val="28"/>
          <w:lang w:val="en-US" w:eastAsia="zh-CN"/>
        </w:rPr>
        <w:t>为把控服务质量，陶然亭街道办事处制定了《陶然亭街道综合行政执法队保安辅助执法考核评价方案》，定期对保安服务质量进行跟踪考核。</w:t>
      </w:r>
      <w:r>
        <w:rPr>
          <w:rFonts w:hint="eastAsia" w:ascii="仿宋_GB2312" w:eastAsia="仿宋_GB2312"/>
          <w:sz w:val="28"/>
          <w:szCs w:val="28"/>
        </w:rPr>
        <w:t>但</w:t>
      </w:r>
      <w:r>
        <w:rPr>
          <w:rFonts w:hint="eastAsia" w:ascii="仿宋_GB2312" w:eastAsia="仿宋_GB2312"/>
          <w:sz w:val="28"/>
          <w:szCs w:val="28"/>
          <w:lang w:val="en-US" w:eastAsia="zh-CN"/>
        </w:rPr>
        <w:t>项目实施过程中，由于服务周期衔接考虑不足，导致2024年度合同完成后与同一家保安公司续签了一个月合同；另工作方案中未明确实施步骤的时间节点以及各项重点工作的责任人，反映出业务管理的精细度有待加强。</w:t>
      </w:r>
    </w:p>
    <w:p w14:paraId="2889DDFA">
      <w:pPr>
        <w:ind w:firstLine="560" w:firstLineChars="200"/>
        <w:rPr>
          <w:rFonts w:hint="eastAsia" w:ascii="仿宋_GB2312" w:eastAsia="仿宋_GB2312"/>
          <w:sz w:val="28"/>
          <w:szCs w:val="28"/>
        </w:rPr>
      </w:pPr>
      <w:bookmarkStart w:id="16" w:name="_Toc1490583663"/>
      <w:r>
        <w:rPr>
          <w:rFonts w:hint="eastAsia" w:ascii="仿宋_GB2312" w:eastAsia="仿宋_GB2312"/>
          <w:sz w:val="28"/>
          <w:szCs w:val="28"/>
          <w:lang w:val="en-US" w:eastAsia="zh-CN"/>
        </w:rPr>
        <w:t>3.</w:t>
      </w:r>
      <w:r>
        <w:rPr>
          <w:rFonts w:hint="eastAsia" w:ascii="仿宋_GB2312" w:eastAsia="仿宋_GB2312"/>
          <w:sz w:val="28"/>
          <w:szCs w:val="28"/>
        </w:rPr>
        <w:t>项目产出情况</w:t>
      </w:r>
      <w:bookmarkEnd w:id="16"/>
    </w:p>
    <w:p w14:paraId="03396671">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产出数量：</w:t>
      </w:r>
      <w:r>
        <w:rPr>
          <w:rFonts w:hint="eastAsia" w:ascii="仿宋_GB2312" w:eastAsia="仿宋_GB2312"/>
          <w:sz w:val="28"/>
          <w:szCs w:val="28"/>
        </w:rPr>
        <w:t>2025年度“保安协管员经费”</w:t>
      </w:r>
      <w:r>
        <w:rPr>
          <w:rFonts w:hint="eastAsia" w:ascii="仿宋_GB2312" w:eastAsia="仿宋_GB2312"/>
          <w:sz w:val="28"/>
          <w:szCs w:val="28"/>
          <w:lang w:val="en-US" w:eastAsia="zh-CN"/>
        </w:rPr>
        <w:t>计划聘用保安人数为35人，实际聘用保安人数35人，产出数量指标完成率为100%。</w:t>
      </w:r>
    </w:p>
    <w:p w14:paraId="3907C45C">
      <w:pPr>
        <w:ind w:firstLine="560" w:firstLineChars="200"/>
        <w:rPr>
          <w:rFonts w:hint="eastAsia" w:ascii="仿宋_GB2312" w:eastAsia="仿宋_GB2312"/>
          <w:sz w:val="28"/>
          <w:szCs w:val="28"/>
        </w:rPr>
      </w:pPr>
      <w:r>
        <w:rPr>
          <w:rFonts w:hint="eastAsia" w:ascii="仿宋_GB2312" w:eastAsia="仿宋_GB2312"/>
          <w:sz w:val="28"/>
          <w:szCs w:val="28"/>
          <w:lang w:val="en-US" w:eastAsia="zh-CN"/>
        </w:rPr>
        <w:t>产出质量：</w:t>
      </w:r>
      <w:r>
        <w:rPr>
          <w:rFonts w:hint="eastAsia" w:ascii="仿宋_GB2312" w:eastAsia="仿宋_GB2312"/>
          <w:sz w:val="28"/>
          <w:szCs w:val="28"/>
        </w:rPr>
        <w:t>通过保安员的日常巡查和辅助执法，有效补充了执法队的辅助力量，协助完成了大量执法任务和专项整治工作，质量指标达成年度目标。</w:t>
      </w:r>
    </w:p>
    <w:p w14:paraId="05185866">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产出时效：项目能够按照合同约定按期提供保安服务，支付服务费。但因合同衔接考虑不周因素，导致上年合同续签一个月，在业务实施进度控制方面存在不足。</w:t>
      </w:r>
    </w:p>
    <w:p w14:paraId="2E2667DD">
      <w:pPr>
        <w:ind w:firstLine="560" w:firstLineChars="200"/>
        <w:rPr>
          <w:rFonts w:hint="default" w:ascii="仿宋_GB2312" w:eastAsia="仿宋_GB2312"/>
          <w:sz w:val="28"/>
          <w:szCs w:val="28"/>
          <w:lang w:val="en-US" w:eastAsia="zh-CN"/>
        </w:rPr>
      </w:pPr>
      <w:r>
        <w:rPr>
          <w:rFonts w:hint="eastAsia" w:ascii="仿宋_GB2312" w:eastAsia="仿宋_GB2312"/>
          <w:sz w:val="28"/>
          <w:szCs w:val="28"/>
          <w:lang w:val="en-US" w:eastAsia="zh-CN"/>
        </w:rPr>
        <w:t>成本指标：项目未设定成本指标，但通过竞争性谈判、定期考核以及结算与服务质量挂钩等措施达到“控本增效”的目的，项目支出未超过预算总价，月均单位成本控制在5,400.00元/人之内。</w:t>
      </w:r>
    </w:p>
    <w:p w14:paraId="1024875F">
      <w:pPr>
        <w:ind w:firstLine="560" w:firstLineChars="200"/>
        <w:rPr>
          <w:rFonts w:hint="eastAsia" w:ascii="仿宋_GB2312" w:eastAsia="仿宋_GB2312"/>
          <w:sz w:val="28"/>
          <w:szCs w:val="28"/>
        </w:rPr>
      </w:pPr>
      <w:bookmarkStart w:id="17" w:name="_Toc633988474"/>
      <w:r>
        <w:rPr>
          <w:rFonts w:hint="eastAsia" w:ascii="仿宋_GB2312" w:eastAsia="仿宋_GB2312"/>
          <w:sz w:val="28"/>
          <w:szCs w:val="28"/>
          <w:lang w:val="en-US" w:eastAsia="zh-CN"/>
        </w:rPr>
        <w:t>4.</w:t>
      </w:r>
      <w:r>
        <w:rPr>
          <w:rFonts w:hint="eastAsia" w:ascii="仿宋_GB2312" w:eastAsia="仿宋_GB2312"/>
          <w:sz w:val="28"/>
          <w:szCs w:val="28"/>
        </w:rPr>
        <w:t>项目效益情况</w:t>
      </w:r>
      <w:bookmarkEnd w:id="17"/>
    </w:p>
    <w:p w14:paraId="6077E7FE">
      <w:pPr>
        <w:ind w:firstLine="560" w:firstLineChars="200"/>
        <w:rPr>
          <w:rFonts w:hint="eastAsia" w:ascii="仿宋_GB2312" w:eastAsia="仿宋_GB2312"/>
          <w:sz w:val="28"/>
          <w:szCs w:val="28"/>
        </w:rPr>
      </w:pPr>
      <w:r>
        <w:rPr>
          <w:rFonts w:hint="eastAsia" w:ascii="仿宋_GB2312" w:eastAsia="仿宋_GB2312"/>
          <w:sz w:val="28"/>
          <w:szCs w:val="28"/>
          <w:lang w:val="en-US" w:eastAsia="zh-CN"/>
        </w:rPr>
        <w:t>通过实施该项目，聘用保安协管人员协助执法队</w:t>
      </w:r>
      <w:r>
        <w:rPr>
          <w:rFonts w:hint="eastAsia" w:ascii="仿宋_GB2312" w:eastAsia="仿宋_GB2312"/>
          <w:sz w:val="28"/>
          <w:szCs w:val="28"/>
        </w:rPr>
        <w:t>开展秩序管控、日常巡查、协助处置、辅助执法等工作</w:t>
      </w:r>
      <w:r>
        <w:rPr>
          <w:rFonts w:hint="eastAsia" w:ascii="仿宋_GB2312" w:eastAsia="仿宋_GB2312"/>
          <w:sz w:val="28"/>
          <w:szCs w:val="28"/>
          <w:lang w:eastAsia="zh-CN"/>
        </w:rPr>
        <w:t>，</w:t>
      </w:r>
      <w:r>
        <w:rPr>
          <w:rFonts w:hint="eastAsia" w:ascii="仿宋_GB2312" w:eastAsia="仿宋_GB2312"/>
          <w:sz w:val="28"/>
          <w:szCs w:val="28"/>
        </w:rPr>
        <w:t>有力支撑了街道综合行政执法队在2025年度完成行政处罚123起、拆除违建约3163平方米、办理“12345”工单1400余件等繁重的工作任务，在重大活动保障、辖区环境秩序提升等方面发挥了积极作用，社会效益显著。</w:t>
      </w:r>
    </w:p>
    <w:p w14:paraId="5547BD2E">
      <w:pPr>
        <w:ind w:firstLine="560" w:firstLineChars="200"/>
        <w:rPr>
          <w:rFonts w:hint="eastAsia" w:ascii="仿宋_GB2312" w:eastAsia="仿宋_GB2312"/>
          <w:sz w:val="28"/>
          <w:szCs w:val="28"/>
          <w:lang w:eastAsia="zh-CN"/>
        </w:rPr>
      </w:pPr>
      <w:r>
        <w:rPr>
          <w:rFonts w:hint="eastAsia" w:ascii="仿宋_GB2312" w:eastAsia="仿宋_GB2312"/>
          <w:sz w:val="28"/>
          <w:szCs w:val="28"/>
        </w:rPr>
        <w:t>通过对街道执法队员的问卷调查，满意度达到99%，高于年度绩效目标（≥98%），保安协管员的工作得到了内部服务对象的高度认可。</w:t>
      </w:r>
    </w:p>
    <w:p w14:paraId="6CD63687">
      <w:pPr>
        <w:ind w:firstLine="560" w:firstLineChars="200"/>
      </w:pPr>
      <w:r>
        <w:rPr>
          <w:rFonts w:hint="eastAsia" w:ascii="黑体" w:eastAsia="黑体"/>
          <w:sz w:val="28"/>
          <w:szCs w:val="28"/>
          <w:highlight w:val="none"/>
          <w:lang w:eastAsia="zh-CN"/>
        </w:rPr>
        <w:t>三</w:t>
      </w:r>
      <w:r>
        <w:rPr>
          <w:rFonts w:hint="eastAsia" w:ascii="黑体" w:eastAsia="黑体"/>
          <w:sz w:val="28"/>
          <w:szCs w:val="28"/>
          <w:highlight w:val="none"/>
        </w:rPr>
        <w:t>、项目</w:t>
      </w:r>
      <w:r>
        <w:rPr>
          <w:rFonts w:ascii="黑体" w:eastAsia="黑体"/>
          <w:sz w:val="28"/>
          <w:szCs w:val="28"/>
          <w:highlight w:val="none"/>
        </w:rPr>
        <w:t>支出绩效自评表</w:t>
      </w:r>
      <w:r>
        <w:rPr>
          <w:rFonts w:hint="eastAsia" w:ascii="黑体" w:eastAsia="黑体"/>
          <w:sz w:val="28"/>
          <w:szCs w:val="28"/>
          <w:highlight w:val="none"/>
          <w:lang w:eastAsia="zh-CN"/>
        </w:rPr>
        <w:t>（详见附件）</w:t>
      </w:r>
    </w:p>
    <w:p w14:paraId="480CEE8F">
      <w:pPr>
        <w:rPr>
          <w:rFonts w:hint="eastAsia" w:ascii="仿宋_GB2312" w:eastAsia="仿宋_GB2312"/>
          <w:sz w:val="28"/>
          <w:szCs w:val="28"/>
          <w:lang w:eastAsia="zh-CN"/>
        </w:rPr>
      </w:pPr>
    </w:p>
    <w:sectPr>
      <w:footerReference r:id="rId4" w:type="default"/>
      <w:footerReference r:id="rId5"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roman"/>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Tahoma">
    <w:altName w:val="noto sans thai"/>
    <w:panose1 w:val="020B0604030504040204"/>
    <w:charset w:val="00"/>
    <w:family w:val="swiss"/>
    <w:pitch w:val="default"/>
    <w:sig w:usb0="00000000" w:usb1="00000000" w:usb2="00000029" w:usb3="00000000" w:csb0="200101FF" w:csb1="20280000"/>
  </w:font>
  <w:font w:name="noto sans thai">
    <w:panose1 w:val="020B0502040504020204"/>
    <w:charset w:val="00"/>
    <w:family w:val="auto"/>
    <w:pitch w:val="default"/>
    <w:sig w:usb0="81000063" w:usb1="00002000" w:usb2="00000000" w:usb3="00000000" w:csb0="00010000" w:csb1="00000000"/>
  </w:font>
  <w:font w:name="仿宋">
    <w:altName w:val="方正仿宋_GBK"/>
    <w:panose1 w:val="02010609060101010101"/>
    <w:charset w:val="86"/>
    <w:family w:val="modern"/>
    <w:pitch w:val="default"/>
    <w:sig w:usb0="00000000" w:usb1="00000000" w:usb2="00000016" w:usb3="00000000" w:csb0="00040001" w:csb1="00000000"/>
  </w:font>
  <w:font w:name="文泉驿正黑">
    <w:panose1 w:val="02000603000000000000"/>
    <w:charset w:val="86"/>
    <w:family w:val="auto"/>
    <w:pitch w:val="default"/>
    <w:sig w:usb0="900002BF" w:usb1="2BDF7DFB" w:usb2="00000036" w:usb3="00000000" w:csb0="603E000D" w:csb1="D2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B5093">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3</w:t>
    </w:r>
    <w:r>
      <w:fldChar w:fldCharType="end"/>
    </w:r>
  </w:p>
  <w:p w14:paraId="0CFD5DB6">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FCCBE">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5</w:t>
    </w:r>
    <w:r>
      <w:fldChar w:fldCharType="end"/>
    </w:r>
  </w:p>
  <w:p w14:paraId="396B5897">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0D308">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15</w:t>
    </w:r>
    <w:r>
      <w:fldChar w:fldCharType="end"/>
    </w:r>
  </w:p>
  <w:p w14:paraId="2CE8C713">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FC17E0"/>
    <w:multiLevelType w:val="singleLevel"/>
    <w:tmpl w:val="EDFC17E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32B5196"/>
    <w:rsid w:val="04C3537C"/>
    <w:rsid w:val="079004AC"/>
    <w:rsid w:val="0BA148CA"/>
    <w:rsid w:val="0C1165C4"/>
    <w:rsid w:val="0D6D544B"/>
    <w:rsid w:val="0DD136FE"/>
    <w:rsid w:val="0F8E2C57"/>
    <w:rsid w:val="1059665E"/>
    <w:rsid w:val="10AC13BA"/>
    <w:rsid w:val="145A6C1B"/>
    <w:rsid w:val="14B73493"/>
    <w:rsid w:val="167A2FF9"/>
    <w:rsid w:val="17E05399"/>
    <w:rsid w:val="18581C69"/>
    <w:rsid w:val="186D28E5"/>
    <w:rsid w:val="1AEC0734"/>
    <w:rsid w:val="1DEF20B0"/>
    <w:rsid w:val="214243FA"/>
    <w:rsid w:val="21AD613C"/>
    <w:rsid w:val="22467189"/>
    <w:rsid w:val="257A14F5"/>
    <w:rsid w:val="27196C26"/>
    <w:rsid w:val="29EF086F"/>
    <w:rsid w:val="2A014A0F"/>
    <w:rsid w:val="2EFFE297"/>
    <w:rsid w:val="301437CA"/>
    <w:rsid w:val="32791381"/>
    <w:rsid w:val="349D1F0A"/>
    <w:rsid w:val="34DD0473"/>
    <w:rsid w:val="3C181CA7"/>
    <w:rsid w:val="3C684897"/>
    <w:rsid w:val="433E495C"/>
    <w:rsid w:val="489F2FD7"/>
    <w:rsid w:val="4AC27CB3"/>
    <w:rsid w:val="4BF72BEF"/>
    <w:rsid w:val="4FA90297"/>
    <w:rsid w:val="4FC41A43"/>
    <w:rsid w:val="51DB3C59"/>
    <w:rsid w:val="550C0952"/>
    <w:rsid w:val="55762E42"/>
    <w:rsid w:val="57A7B272"/>
    <w:rsid w:val="58470068"/>
    <w:rsid w:val="58747CAC"/>
    <w:rsid w:val="5A1720F9"/>
    <w:rsid w:val="5B9C37C2"/>
    <w:rsid w:val="5BA7C654"/>
    <w:rsid w:val="60A54109"/>
    <w:rsid w:val="612C6DE9"/>
    <w:rsid w:val="61D01CDF"/>
    <w:rsid w:val="64C0607C"/>
    <w:rsid w:val="65756C86"/>
    <w:rsid w:val="674D385B"/>
    <w:rsid w:val="676F09E1"/>
    <w:rsid w:val="6CFBF589"/>
    <w:rsid w:val="71793A80"/>
    <w:rsid w:val="7357290B"/>
    <w:rsid w:val="798524E4"/>
    <w:rsid w:val="7A7F1C49"/>
    <w:rsid w:val="7AAD7CA5"/>
    <w:rsid w:val="7B3F84E8"/>
    <w:rsid w:val="7B5B7AE6"/>
    <w:rsid w:val="7B7B6628"/>
    <w:rsid w:val="7BA7071E"/>
    <w:rsid w:val="7BD94752"/>
    <w:rsid w:val="7BDF6DA8"/>
    <w:rsid w:val="7BDF7589"/>
    <w:rsid w:val="7C7EDC1A"/>
    <w:rsid w:val="7CCED98D"/>
    <w:rsid w:val="7D08410F"/>
    <w:rsid w:val="7D2759BE"/>
    <w:rsid w:val="7DB96DED"/>
    <w:rsid w:val="7DD3AD81"/>
    <w:rsid w:val="7F7FE70F"/>
    <w:rsid w:val="7FDE3459"/>
    <w:rsid w:val="7FFDAAB7"/>
    <w:rsid w:val="7FFF772F"/>
    <w:rsid w:val="8F2FD756"/>
    <w:rsid w:val="95F35EF6"/>
    <w:rsid w:val="9BFFD860"/>
    <w:rsid w:val="AC5F73DE"/>
    <w:rsid w:val="AFE54520"/>
    <w:rsid w:val="B5DDD2C8"/>
    <w:rsid w:val="B7F98359"/>
    <w:rsid w:val="B9DFABD9"/>
    <w:rsid w:val="BC0D83FC"/>
    <w:rsid w:val="BF3BDEFB"/>
    <w:rsid w:val="C75F6086"/>
    <w:rsid w:val="C7F7ED2D"/>
    <w:rsid w:val="CEDB919F"/>
    <w:rsid w:val="CFAF854E"/>
    <w:rsid w:val="D8D7928E"/>
    <w:rsid w:val="D8FE3136"/>
    <w:rsid w:val="DBBF07D3"/>
    <w:rsid w:val="DDDE60B7"/>
    <w:rsid w:val="DE9F6A22"/>
    <w:rsid w:val="DF4FCE6A"/>
    <w:rsid w:val="E4FED278"/>
    <w:rsid w:val="EA7DFA96"/>
    <w:rsid w:val="EDAA365C"/>
    <w:rsid w:val="EDADFC12"/>
    <w:rsid w:val="F1FF7AE1"/>
    <w:rsid w:val="F2FD229B"/>
    <w:rsid w:val="F7F709E9"/>
    <w:rsid w:val="F7FF3690"/>
    <w:rsid w:val="F9BD3900"/>
    <w:rsid w:val="FB5B710C"/>
    <w:rsid w:val="FC8B9876"/>
    <w:rsid w:val="FEDFF218"/>
    <w:rsid w:val="FEDFF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Indent"/>
    <w:basedOn w:val="1"/>
    <w:qFormat/>
    <w:uiPriority w:val="0"/>
    <w:pPr>
      <w:ind w:firstLine="645"/>
    </w:pPr>
    <w:rPr>
      <w:rFonts w:ascii="仿宋_GB2312" w:hAnsi="Calibri" w:eastAsia="仿宋_GB2312"/>
      <w:sz w:val="32"/>
      <w:szCs w:val="32"/>
    </w:r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9">
    <w:name w:val="Normal (Web)"/>
    <w:basedOn w:val="1"/>
    <w:unhideWhenUsed/>
    <w:qFormat/>
    <w:uiPriority w:val="0"/>
    <w:pPr>
      <w:spacing w:before="100" w:beforeAutospacing="1" w:after="100" w:afterAutospacing="1"/>
      <w:ind w:right="238"/>
      <w:jc w:val="left"/>
    </w:pPr>
    <w:rPr>
      <w:b/>
      <w:kern w:val="0"/>
      <w:sz w:val="24"/>
      <w:szCs w:val="20"/>
    </w:rPr>
  </w:style>
  <w:style w:type="character" w:styleId="12">
    <w:name w:val="Strong"/>
    <w:qFormat/>
    <w:uiPriority w:val="0"/>
    <w:rPr>
      <w:b/>
    </w:rPr>
  </w:style>
  <w:style w:type="character" w:styleId="13">
    <w:name w:val="page number"/>
    <w:qFormat/>
    <w:uiPriority w:val="0"/>
  </w:style>
  <w:style w:type="character" w:customStyle="1" w:styleId="14">
    <w:name w:val="页脚 Char"/>
    <w:link w:val="7"/>
    <w:qFormat/>
    <w:uiPriority w:val="0"/>
    <w:rPr>
      <w:rFonts w:eastAsia="宋体"/>
      <w:kern w:val="2"/>
      <w:sz w:val="18"/>
      <w:szCs w:val="18"/>
      <w:lang w:val="en-US" w:eastAsia="zh-CN" w:bidi="ar-SA"/>
    </w:rPr>
  </w:style>
  <w:style w:type="character" w:customStyle="1" w:styleId="15">
    <w:name w:val="页眉 Char"/>
    <w:link w:val="8"/>
    <w:qFormat/>
    <w:uiPriority w:val="0"/>
    <w:rPr>
      <w:rFonts w:ascii="Calibri" w:hAnsi="Calibri" w:eastAsia="宋体"/>
      <w:kern w:val="2"/>
      <w:sz w:val="18"/>
      <w:szCs w:val="18"/>
      <w:lang w:val="en-US" w:eastAsia="zh-CN" w:bidi="ar-SA"/>
    </w:rPr>
  </w:style>
  <w:style w:type="paragraph" w:customStyle="1" w:styleId="16">
    <w:name w:val="Char Char Char Char Char Char Char"/>
    <w:basedOn w:val="1"/>
    <w:qFormat/>
    <w:uiPriority w:val="0"/>
    <w:rPr>
      <w:rFonts w:ascii="Tahoma" w:hAnsi="Tahoma"/>
      <w:sz w:val="24"/>
      <w:szCs w:val="20"/>
    </w:rPr>
  </w:style>
  <w:style w:type="paragraph" w:customStyle="1" w:styleId="17">
    <w:name w:val="Char1 Char Char Char"/>
    <w:basedOn w:val="1"/>
    <w:qFormat/>
    <w:uiPriority w:val="0"/>
    <w:pPr>
      <w:widowControl/>
      <w:spacing w:after="160" w:line="240" w:lineRule="exact"/>
      <w:jc w:val="left"/>
    </w:pPr>
    <w:rPr>
      <w:szCs w:val="20"/>
    </w:rPr>
  </w:style>
  <w:style w:type="paragraph" w:customStyle="1" w:styleId="18">
    <w:name w:val="Char"/>
    <w:basedOn w:val="1"/>
    <w:qFormat/>
    <w:uiPriority w:val="0"/>
    <w:rPr>
      <w:rFonts w:ascii="Tahoma" w:hAnsi="Tahoma"/>
      <w:sz w:val="24"/>
      <w:szCs w:val="20"/>
    </w:rPr>
  </w:style>
  <w:style w:type="paragraph" w:customStyle="1" w:styleId="19">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sz="1400" b="0"/>
              <a:t>收入决算</a:t>
            </a:r>
            <a:endParaRPr lang="zh-CN" altLang="en-US" sz="1400" b="0"/>
          </a:p>
        </c:rich>
      </c:tx>
      <c:layout/>
      <c:overlay val="0"/>
    </c:title>
    <c:autoTitleDeleted val="0"/>
    <c:plotArea>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Pt>
            <c:idx val="3"/>
            <c:bubble3D val="0"/>
          </c:dPt>
          <c:dPt>
            <c:idx val="4"/>
            <c:bubble3D val="0"/>
          </c:dPt>
          <c:dPt>
            <c:idx val="5"/>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22385.01</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92590b3b-fc37-46bd-aaa5-651bb4bfd66c}"/>
      </c:ext>
    </c:extLst>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solidFill>
                <a:latin typeface="+mn-lt"/>
                <a:ea typeface="+mn-ea"/>
                <a:cs typeface="+mn-cs"/>
              </a:defRPr>
            </a:pPr>
            <a:r>
              <a:rPr lang="zh-CN" altLang="en-US">
                <a:solidFill>
                  <a:schemeClr val="tx1"/>
                </a:solidFill>
              </a:rPr>
              <a:t>支出决算</a:t>
            </a:r>
            <a:endParaRPr lang="zh-CN" altLang="en-US">
              <a:solidFill>
                <a:schemeClr val="tx1"/>
              </a:solidFill>
            </a:endParaRPr>
          </a:p>
        </c:rich>
      </c:tx>
      <c:layout/>
      <c:overlay val="0"/>
      <c:spPr>
        <a:noFill/>
        <a:ln>
          <a:noFill/>
        </a:ln>
        <a:effectLst/>
      </c:spPr>
    </c:title>
    <c:autoTitleDeleted val="0"/>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2"/>
              <c:layout>
                <c:manualLayout>
                  <c:x val="-0.03900372940115"/>
                  <c:y val="0.0328271436107878"/>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0389887693586102"/>
                  <c:y val="0.0105112295100623"/>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6844.84</c:v>
                </c:pt>
                <c:pt idx="1">
                  <c:v>15540.17</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4"/>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e45ccd32-e131-4041-aafe-095bd5761a3d}"/>
      </c:ext>
    </c:extLst>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3130</Words>
  <Characters>5454</Characters>
  <Lines>44</Lines>
  <Paragraphs>12</Paragraphs>
  <TotalTime>0</TotalTime>
  <ScaleCrop>false</ScaleCrop>
  <LinksUpToDate>false</LinksUpToDate>
  <CharactersWithSpaces>5475</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2017-07-12T07:16:00Z</dcterms:created>
  <dc:creator>常程</dc:creator>
  <cp:lastModifiedBy>admin</cp:lastModifiedBy>
  <cp:lastPrinted>2020-08-08T03:39:00Z</cp:lastPrinted>
  <dcterms:modified xsi:type="dcterms:W3CDTF">2026-08-18T16:44:01Z</dcterms:modified>
  <dc:title>北京市财政局关于做好向市人大常委会报送2015年度市级部门决算（草案）</dc:title>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32F7ECE1C3F251D0701A846A0BDA381E_43</vt:lpwstr>
  </property>
  <property fmtid="{D5CDD505-2E9C-101B-9397-08002B2CF9AE}" pid="4" name="KSOTemplateDocerSaveRecord">
    <vt:lpwstr>eyJoZGlkIjoiMzc4NWY1MzkzMjk1MGZhYTYzN2RlYzY2ZjI5NzA1ZTciLCJ1c2VySWQiOiIzMDA3MzEzNzgifQ==</vt:lpwstr>
  </property>
</Properties>
</file>