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F8357">
      <w:pPr>
        <w:pStyle w:val="4"/>
        <w:keepNext w:val="0"/>
        <w:keepLines w:val="0"/>
        <w:pageBreakBefore/>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p>
    <w:p w14:paraId="5DB8429D">
      <w:pPr>
        <w:spacing w:line="560" w:lineRule="exact"/>
        <w:jc w:val="center"/>
        <w:rPr>
          <w:rFonts w:hint="eastAsia" w:ascii="方正小标宋简体" w:eastAsia="方正小标宋简体"/>
          <w:sz w:val="36"/>
          <w:szCs w:val="36"/>
        </w:rPr>
      </w:pPr>
    </w:p>
    <w:p w14:paraId="69783671">
      <w:pPr>
        <w:spacing w:line="560" w:lineRule="exact"/>
        <w:jc w:val="center"/>
        <w:rPr>
          <w:rFonts w:hint="eastAsia" w:ascii="方正小标宋简体" w:eastAsia="方正小标宋简体"/>
          <w:sz w:val="36"/>
          <w:szCs w:val="36"/>
        </w:rPr>
      </w:pPr>
      <w:bookmarkStart w:id="0" w:name="_GoBack"/>
      <w:r>
        <w:rPr>
          <w:rFonts w:hint="eastAsia" w:ascii="方正小标宋简体" w:eastAsia="方正小标宋简体"/>
          <w:sz w:val="36"/>
          <w:szCs w:val="36"/>
        </w:rPr>
        <w:t>部门整体绩效评价报告</w:t>
      </w:r>
    </w:p>
    <w:bookmarkEnd w:id="0"/>
    <w:p w14:paraId="071607DD">
      <w:pPr>
        <w:jc w:val="center"/>
        <w:rPr>
          <w:rFonts w:ascii="仿宋_GB2312"/>
          <w:szCs w:val="30"/>
        </w:rPr>
      </w:pPr>
    </w:p>
    <w:p w14:paraId="31E6EBB0">
      <w:pPr>
        <w:spacing w:line="600" w:lineRule="exact"/>
        <w:ind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一、部门概况</w:t>
      </w:r>
    </w:p>
    <w:p w14:paraId="5250BA46">
      <w:pPr>
        <w:spacing w:line="600" w:lineRule="exact"/>
        <w:ind w:firstLine="640" w:firstLineChars="200"/>
        <w:rPr>
          <w:rFonts w:hint="eastAsia" w:ascii="楷体_GB2312" w:eastAsia="楷体_GB2312"/>
          <w:sz w:val="32"/>
          <w:szCs w:val="32"/>
        </w:rPr>
      </w:pPr>
      <w:r>
        <w:rPr>
          <w:rFonts w:hint="eastAsia" w:ascii="楷体_GB2312" w:eastAsia="楷体_GB2312"/>
          <w:sz w:val="32"/>
          <w:szCs w:val="32"/>
        </w:rPr>
        <w:t>（一）机构设置及职责工作任务情况</w:t>
      </w:r>
    </w:p>
    <w:p w14:paraId="1964810F">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1.机构设置</w:t>
      </w:r>
    </w:p>
    <w:p w14:paraId="4078C14C">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北京市西城区人民政府陶然亭街道办事处是西城区人民政府的派出机关，是代表区政府对街道辖区行使管理职权的基层行政组织，行使区政府赋予的职权，内设7个机构：综合办公室、党群工作办公室、平安建设办公室、城市管理办公室、社区建设办公室、民生保障办公室和纪工委。另有三个下属事业单位：陶然亭街道党群服务中心、陶然亭街道市民服务中心、陶然亭街道全响应街区治理中心。</w:t>
      </w:r>
    </w:p>
    <w:p w14:paraId="7604084F">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2.主要职责</w:t>
      </w:r>
    </w:p>
    <w:p w14:paraId="07B2711E">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（1）贯彻执行法律、法规、规章和市、区政府的决策部署，依法管理基层公共事务。</w:t>
      </w:r>
    </w:p>
    <w:p w14:paraId="3E8897E7">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（2）承担辖区市容环境卫生、绿化美化的管理工作，推进街巷长、河长制工作，组织、协调城市管理综合执法和环境秩序综合治理工作，推进城市精细化管理。</w:t>
      </w:r>
    </w:p>
    <w:p w14:paraId="4574DAE7">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（3）协助依法履行安全生产、消防安全、食品安全、环境保护、劳动保障、流动人口及出租房屋监督管理工作，承担辖区应急、防汛和防灾减灾工作。</w:t>
      </w:r>
    </w:p>
    <w:p w14:paraId="5363B40A">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（4）参与制定并组织实施社区建设规划和公共服务设施规划，组织辖区单位、居民和志愿者队伍为社区发展服务。</w:t>
      </w:r>
    </w:p>
    <w:p w14:paraId="033FED3F">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（5）负责社区居民委员会建设，指导社区居民委员会工作，培育、发展社区社会组织，指导、监督社区业主委员会。</w:t>
      </w:r>
    </w:p>
    <w:p w14:paraId="090D881C">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（6）推进居民自治，动员社会力量参与社区治理，推动形成社区共治合力。向上级政府反映社情民意。</w:t>
      </w:r>
    </w:p>
    <w:p w14:paraId="7344F760">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（7）组织开展群众性文化、体育、科普活动，开展法治宣传和社会公德教育，推动社区公益事业发展。</w:t>
      </w:r>
    </w:p>
    <w:p w14:paraId="5F813AFC">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（8）组织开展公共服务，落实人力社保、民政、卫生健康、教育、住房保障、便民服务等政策，维护老年人、妇女、未成年人、残疾人等合法权益。</w:t>
      </w:r>
    </w:p>
    <w:p w14:paraId="726ABEB0">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（9）负责联系、服务辖区单位，营造良好的营商环境。</w:t>
      </w:r>
    </w:p>
    <w:p w14:paraId="1195DBC8">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（10）承办区政府交办的其他事项。</w:t>
      </w:r>
    </w:p>
    <w:p w14:paraId="128E9AF5">
      <w:pPr>
        <w:numPr>
          <w:ilvl w:val="0"/>
          <w:numId w:val="1"/>
        </w:numPr>
        <w:spacing w:line="600" w:lineRule="exact"/>
        <w:ind w:firstLine="640" w:firstLineChars="200"/>
        <w:rPr>
          <w:rFonts w:hint="eastAsia" w:ascii="楷体_GB2312" w:eastAsia="楷体_GB2312"/>
          <w:sz w:val="32"/>
          <w:szCs w:val="32"/>
        </w:rPr>
      </w:pPr>
      <w:r>
        <w:rPr>
          <w:rFonts w:hint="eastAsia" w:ascii="楷体_GB2312" w:eastAsia="楷体_GB2312"/>
          <w:sz w:val="32"/>
          <w:szCs w:val="32"/>
        </w:rPr>
        <w:t>部门整体绩效目标设立情况（包括绩效目标设立依据、目标</w:t>
      </w:r>
      <w:r>
        <w:rPr>
          <w:rFonts w:ascii="楷体_GB2312" w:eastAsia="楷体_GB2312"/>
          <w:sz w:val="32"/>
          <w:szCs w:val="32"/>
        </w:rPr>
        <w:t>与</w:t>
      </w:r>
      <w:r>
        <w:rPr>
          <w:rFonts w:hint="eastAsia" w:ascii="楷体_GB2312" w:eastAsia="楷体_GB2312"/>
          <w:sz w:val="32"/>
          <w:szCs w:val="32"/>
        </w:rPr>
        <w:t>职责任务匹配情况、目标合理性等）。</w:t>
      </w:r>
    </w:p>
    <w:p w14:paraId="16DEE9AB">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1.绩效目标设立依据</w:t>
      </w:r>
    </w:p>
    <w:p w14:paraId="09677B59">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2025年街道坚决落实区委、区政府工作要求，全面贯彻党的二十大和二十届四中全会精神，紧扣高质量发展首要任务，锚定建设“美好陶然”发展目标，依据本部门的职能职责、中长期发展规划、年度部门工作计划以及重点工作任务等，结合相关历史数据、计划标准、行业标准等设定了本年度部门整体支出绩效目标。</w:t>
      </w:r>
    </w:p>
    <w:p w14:paraId="57A4DA5F">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部门整体目标设定为：2025年是全面贯彻党的二十届四中全会精神的开局之年，是“十四五”规划收官、“十五五”规划谋划之年。街道将以更加奋发有为之姿，努力推动各项工作取得新成效。</w:t>
      </w:r>
    </w:p>
    <w:p w14:paraId="6B10ED2B">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1）全力服务经济高质量发展。开拓资源，积极引入新入户企业助力税源增收；加快推动中海金融中心建设招商引资，着力打造高品质产业空间；合作推进数字人民币应用场景设置，对接“融享汇”建设，优化金融服务提升营商环境质量。</w:t>
      </w:r>
    </w:p>
    <w:p w14:paraId="5C9BA2E2">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全力做好地区安全保障。紧扣治本攻坚三年行动，筑牢地区安全基石。扎实保障消防安全，加强大屋脊建筑和电动自行车安全治理。深入落实长安计划4.0，坚决保证重要节点安全稳定。深化矛盾纠纷排查化解，整合辖区资源、依托群众组织、扩大专家参与，切实提高调解成功率。</w:t>
      </w:r>
    </w:p>
    <w:p w14:paraId="4D24849E">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3）全力创造更高品质人居环境。加强蓝天碧水环境保护，加强绿化美化专业治理，部署推动背街小巷环境整治提升精细化治理三年行动计划，全面提升街巷环境精细化治理水平。深化公共空间改造和治理，推进太平天和市场周边整体城市更新；开展红土店北部交通微循环改造；谋划双柳树简易楼片区更新工作。加速攻坚龙泉胡同简易楼腾退、太平天和市场更新改造项目。深化物业管理工作，持续推进市场化物业引入，强化对现有物业的培训座谈、指导监督，制定形成物业项目自查、互查机制，提升辖区物业服务整体质量。</w:t>
      </w:r>
    </w:p>
    <w:p w14:paraId="6D52BF80">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4）全力服务保障民生幸福。发挥“陶然颐养”养老综合体中枢作用，建设“天陶颐养”综合服务中心，丰富“陶然百味”养老助餐网络，争创示范性老年友好型社区。进一步健全基层公共就业服务体系，深化打造、不断夯实“就业服务圈”、陶然“业”课堂等既有品牌，抓好“家门口”暖心就业服务。强化托育工作创新发展，编制全周期科学育儿指导手册，精准调研实际托育服务需求，探索推进普惠转化等途径丰富多元供给。</w:t>
      </w:r>
    </w:p>
    <w:p w14:paraId="7B207F62">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5）全力打造特色地区文化。强化阵地建设，打造有温度、有内涵、有亮点的文体阵地矩阵，完善三级体育赛事体系；注重品牌培树，持续擦亮地书“老”品牌，深化建设陶然文化市集、江亭雅集等“新”品牌。创新服务形式，聚焦阵地共建、资源共享，为学校、社区、企业等单位提供订单式文化服务，促进资源共享、互惠共赢。依托教育支持经费项目撬动学校资源，推动家校社协同育人、师资力量助力社区建设。</w:t>
      </w:r>
    </w:p>
    <w:p w14:paraId="09F86B67">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6）全力提升基层治理效能。深入学习宣传党的创新思想，筑牢主流舆论防线。巩固拓展党纪学习教育成果，加强“陶然名片”社区书记工作室培养体系，持续擦亮“陶然小哥”党建品牌。培塑湖畔阵地打造党建综合服务体，挖掘公园历史文化，开展多样化党群服务，逐步形成“网红”地标效应。织密区域化党建“同心圆”，利用“外溢”效益增强基层治理力量。夯实社会工作力量支撑，打造“幸福邻里”精品社区群。</w:t>
      </w:r>
    </w:p>
    <w:p w14:paraId="621870DC">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2.目标与职责任务匹配情况</w:t>
      </w:r>
    </w:p>
    <w:p w14:paraId="09E8FC3E">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2025年，陶然亭街道办事处以部门职能职责为基础，紧紧围绕综合保障、平安建设、环境治理、民生保障、社区建设、党群工作等方面的工作计划，结合预算资金安排，设置了年度部门整体绩效目标。绩效目标全面覆盖本街道基本履职工作和各项重点工作任务的预期产出和效果，目标设定与职责任务相匹配。</w:t>
      </w:r>
    </w:p>
    <w:p w14:paraId="3B28C97C">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3.目标合理性</w:t>
      </w:r>
    </w:p>
    <w:p w14:paraId="29830553">
      <w:pPr>
        <w:spacing w:line="600" w:lineRule="exact"/>
        <w:ind w:firstLine="640" w:firstLineChars="2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陶然亭街道办事处持续强化绩效管理理念，不断提升绩效目标设定的合理性，牢筑预算绩效管理的基础。2025年结合本街道职能职责、中长期规划、年度工作计划等，设定了本街道部门整体绩效目标。绩效目标覆盖本街道基本支出及重点项目支出涉及的各项工作内容；绩效指标以定性和定量的方式集中体现了街道基本履职和重点工作任务预计达到的产出和效果；指标值以部门履职要求、工作任务、历史数据、行业标准等为基准，有效结合年度预算资金投入情况进行设定。绩效目标的设定指向明确，指标设定较为合理。</w:t>
      </w:r>
    </w:p>
    <w:p w14:paraId="01CA08A7">
      <w:pPr>
        <w:spacing w:line="600" w:lineRule="exact"/>
        <w:ind w:firstLine="640" w:firstLineChars="200"/>
        <w:rPr>
          <w:rFonts w:ascii="黑体" w:hAnsi="黑体" w:eastAsia="黑体" w:cs="宋体"/>
          <w:color w:val="000000"/>
          <w:kern w:val="0"/>
          <w:sz w:val="32"/>
          <w:szCs w:val="32"/>
        </w:rPr>
      </w:pPr>
      <w:r>
        <w:rPr>
          <w:rFonts w:hint="eastAsia" w:ascii="黑体" w:hAnsi="黑体" w:eastAsia="黑体" w:cs="宋体"/>
          <w:color w:val="000000"/>
          <w:kern w:val="0"/>
          <w:sz w:val="32"/>
          <w:szCs w:val="32"/>
        </w:rPr>
        <w:t>二</w:t>
      </w:r>
      <w:r>
        <w:rPr>
          <w:rFonts w:ascii="黑体" w:hAnsi="黑体" w:eastAsia="黑体" w:cs="宋体"/>
          <w:color w:val="000000"/>
          <w:kern w:val="0"/>
          <w:sz w:val="32"/>
          <w:szCs w:val="32"/>
        </w:rPr>
        <w:t>、</w:t>
      </w:r>
      <w:r>
        <w:rPr>
          <w:rFonts w:hint="eastAsia" w:ascii="黑体" w:hAnsi="黑体" w:eastAsia="黑体" w:cs="宋体"/>
          <w:color w:val="000000"/>
          <w:kern w:val="0"/>
          <w:sz w:val="32"/>
          <w:szCs w:val="32"/>
        </w:rPr>
        <w:t>当年</w:t>
      </w:r>
      <w:r>
        <w:rPr>
          <w:rFonts w:ascii="黑体" w:hAnsi="黑体" w:eastAsia="黑体" w:cs="宋体"/>
          <w:color w:val="000000"/>
          <w:kern w:val="0"/>
          <w:sz w:val="32"/>
          <w:szCs w:val="32"/>
        </w:rPr>
        <w:t>预算执行情况</w:t>
      </w:r>
    </w:p>
    <w:p w14:paraId="7F0C0873">
      <w:pPr>
        <w:spacing w:line="600" w:lineRule="exact"/>
        <w:ind w:left="105" w:leftChars="50" w:firstLine="480" w:firstLineChars="15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2025年年初预算批复数22,260.46万元，其中：基本支出6,615.61万元、项目支出15,644.85万元；全年预算数22,984.01万元，其中，基本支出预算数6,952.03万元、项目支出预算数15,995.98万元；资金总体支出22,385.01万元，其中，基本支出6,844.84万元、项目支出15,540.17万元。预算执行率为97.55%。</w:t>
      </w:r>
    </w:p>
    <w:p w14:paraId="2D8B304E">
      <w:pPr>
        <w:spacing w:line="600" w:lineRule="exact"/>
        <w:ind w:left="105" w:leftChars="50" w:firstLine="480" w:firstLineChars="150"/>
        <w:rPr>
          <w:rFonts w:ascii="黑体" w:hAnsi="黑体" w:eastAsia="黑体" w:cs="宋体"/>
          <w:color w:val="000000"/>
          <w:kern w:val="0"/>
          <w:sz w:val="32"/>
          <w:szCs w:val="32"/>
        </w:rPr>
      </w:pPr>
      <w:r>
        <w:rPr>
          <w:rFonts w:hint="eastAsia" w:ascii="黑体" w:hAnsi="黑体" w:eastAsia="黑体" w:cs="宋体"/>
          <w:color w:val="000000"/>
          <w:kern w:val="0"/>
          <w:sz w:val="32"/>
          <w:szCs w:val="32"/>
        </w:rPr>
        <w:t>三</w:t>
      </w:r>
      <w:r>
        <w:rPr>
          <w:rFonts w:ascii="黑体" w:hAnsi="黑体" w:eastAsia="黑体" w:cs="宋体"/>
          <w:color w:val="000000"/>
          <w:kern w:val="0"/>
          <w:sz w:val="32"/>
          <w:szCs w:val="32"/>
        </w:rPr>
        <w:t>、整体绩效目标实现情况</w:t>
      </w:r>
    </w:p>
    <w:p w14:paraId="359ABAE6">
      <w:pPr>
        <w:spacing w:line="600" w:lineRule="exact"/>
        <w:ind w:left="105" w:leftChars="50" w:firstLine="480" w:firstLineChars="150"/>
        <w:rPr>
          <w:rFonts w:ascii="楷体_GB2312" w:eastAsia="楷体_GB2312"/>
          <w:sz w:val="32"/>
          <w:szCs w:val="32"/>
        </w:rPr>
      </w:pPr>
      <w:r>
        <w:rPr>
          <w:rFonts w:hint="eastAsia" w:ascii="楷体_GB2312" w:eastAsia="楷体_GB2312"/>
          <w:sz w:val="32"/>
          <w:szCs w:val="32"/>
        </w:rPr>
        <w:t>（一）产出完成情况分析</w:t>
      </w:r>
    </w:p>
    <w:p w14:paraId="290254AE">
      <w:pPr>
        <w:spacing w:line="600" w:lineRule="exact"/>
        <w:ind w:left="105" w:leftChars="50" w:firstLine="480" w:firstLineChars="15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1.产出数量</w:t>
      </w:r>
    </w:p>
    <w:p w14:paraId="0FEE967F">
      <w:pPr>
        <w:spacing w:line="600" w:lineRule="exact"/>
        <w:ind w:left="105" w:leftChars="50" w:firstLine="480" w:firstLineChars="15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陶然亭街道办事处压实预算绩效管理职责，以首善标准推动各项任务落地见效，确保各项工作任务及时完成。本年度接诉即办累计办理各类案件6209件，同比增加32.47%，在全区年度综合考核中位列第3名，组织安全宣传中心讲解、组织活动、培训、设备维护等运营工作100场，全面普及安全知识，提升全民安全意识及自救互救能力；积极推进法治陶然建设，开展法律宣传、法律服务、人民调解、法治培训等各项司法工作410次；辖区内绿化养护面积达84,553.70平方米，累计补植更换黄杨4700余株；提升公共服务效率，优化人员配置结构，完成政务服务综合窗口办件量50314件；检修辖区内干粉灭火器2522个；在街道辖区垃圾分类全覆盖工作基础上，对辖区内175组桶站、10座驿站进行日常桶站值守；清运无主垃圾1197车；制定企业大走访工作方案，按照区财源专班走访任务要求，累计走访市区重点企业106家；新增电动车车棚6处、充电桩300个，有效缓解充电难题，完成13栋大屋脊住宅楼消防改造，为8个单元加装楼宇对讲，切实保障居民居住安全。</w:t>
      </w:r>
    </w:p>
    <w:p w14:paraId="793ED511">
      <w:pPr>
        <w:spacing w:line="600" w:lineRule="exact"/>
        <w:ind w:left="105" w:leftChars="50" w:firstLine="480" w:firstLineChars="15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2.产出质量</w:t>
      </w:r>
    </w:p>
    <w:p w14:paraId="38EFB212">
      <w:pPr>
        <w:spacing w:line="600" w:lineRule="exact"/>
        <w:ind w:left="105" w:leftChars="50" w:firstLine="480" w:firstLineChars="15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陶然亭街道办事处2025年坚守自身职能职责，按照年初制定的工作计划，狠抓过程管理和目标管理，稳打稳扎开展各项工作。政治建设方面，打造“红亭向阳 陶然聚治”党建品牌，以“五聚五治”机制实施18项攻坚举措，推动党建与治理深度融合；建成全区首家公园主题亭畔党群服务中心，获评市级示范点；城市运行方面，实体化运行街道综治中心，出台全区首个社区延伸运行方案，建立三级矛盾化解机制，矛盾化解率同比增长2.33%，热线月均诉求量下降18.49%；完成13栋大屋脊住宅楼消防改造，为8个单元安装楼宇对讲系统。扎实推进安全生产治本攻坚三年行动，核心指标完成率均达100%；城市品质建设方面，全力保障大吉片项目建设，班子包户助推30户居民拆迁，完成梁启超故居最后一户强执；突破完成北纬路占压道路红线二十余年的房屋拆除，成为全区首个“裁执分离”成功案例，陶然亭路征收、珠朝街建设取得实质性进展。民生保障方面，推动“陶然颐养”养老服务中心提质增效，打造“五联同心”服务体系，在全区率先实现养老中心与驿站联合运营、资源共享；打造“陶然乐业蓄能计划”就业品牌，高校毕业生就业率100%；共享共建方面，完善接诉即办“1+N”机制，以精、心、能、力工作法持续提质降量，年度成绩居全区第三；依托“陶然数治”信息化平台实现治理数据“一表通”，提升网格治理实战效能。</w:t>
      </w:r>
    </w:p>
    <w:p w14:paraId="3FE10807">
      <w:pPr>
        <w:spacing w:line="600" w:lineRule="exact"/>
        <w:ind w:left="105" w:leftChars="50" w:firstLine="480" w:firstLineChars="15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3.产出进度</w:t>
      </w:r>
    </w:p>
    <w:p w14:paraId="4299E726">
      <w:pPr>
        <w:spacing w:line="600" w:lineRule="exact"/>
        <w:ind w:left="105" w:leftChars="50" w:firstLine="480" w:firstLineChars="15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 xml:space="preserve">北京市西城区人民政府陶然亭街道办事处2025年度各项工作有序推进落实，严控预算执行进度，确保各项工作在年度内完成设定指标。全年项目支出162个，其中6个转移支付项目本年度未执行，分别为：京财党政群指〔2023〕1982号提前下达2024年选调生到社区任职财政补助资金、京财社指〔2024〕2039号提前下达2025年中央财政优抚对象医疗保障经费、京财公用指〔2025〕1480号2024年度背街小巷环境精细化整治提升奖励资金、京财社指〔2025〕2066号2025年高等教育新生入学救助经费、党政机关信息化能力提升设备采购项目—计算机终端，涉及预算金额139.79万元。根据相关规定转移支付资金可结转第二年继续使用。                                  </w:t>
      </w:r>
    </w:p>
    <w:p w14:paraId="436AC64C">
      <w:pPr>
        <w:spacing w:line="600" w:lineRule="exact"/>
        <w:ind w:left="105" w:leftChars="50" w:firstLine="480" w:firstLineChars="150"/>
        <w:rPr>
          <w:rFonts w:ascii="楷体_GB2312" w:eastAsia="楷体_GB2312"/>
          <w:sz w:val="32"/>
          <w:szCs w:val="32"/>
        </w:rPr>
      </w:pPr>
      <w:r>
        <w:rPr>
          <w:rFonts w:hint="eastAsia" w:ascii="楷体_GB2312" w:eastAsia="楷体_GB2312"/>
          <w:sz w:val="32"/>
          <w:szCs w:val="32"/>
        </w:rPr>
        <w:t>（二）效果</w:t>
      </w:r>
      <w:r>
        <w:rPr>
          <w:rFonts w:ascii="楷体_GB2312" w:eastAsia="楷体_GB2312"/>
          <w:sz w:val="32"/>
          <w:szCs w:val="32"/>
        </w:rPr>
        <w:t>实现情况分析</w:t>
      </w:r>
    </w:p>
    <w:p w14:paraId="7FCD6F88">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1.经济效益</w:t>
      </w:r>
    </w:p>
    <w:p w14:paraId="09F67698">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强化人才支撑与企业服务，推动商圈高质量发展。陶然亭街道持续助力区域内经济发展，组建中海金融中心商圈专委会，出台“汇zhi陶然”人才工作机制，保障商圈年营收超4亿元。统筹中海大吉巷开业系列活动，开通6类政务绿色通道，破解证照审批等50余项堵点难题，助力121家企业完成市场主体登记，开业即“破圈”成为核心区商业新地标。联合开展戏剧文化市集、体育嘉年华等活动，提升商圈消费活力。吸纳北京元隆雅图等6家企业入驻。助力物美中信城店品牌升级，日营收提升200%，推动黑窑厂糖油饼店等11家企业达规纳统。</w:t>
      </w:r>
    </w:p>
    <w:p w14:paraId="30EB3974">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2.社会效益</w:t>
      </w:r>
    </w:p>
    <w:p w14:paraId="64C005CC">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筑牢安全防线，深耕城市运行保障，推动城市运行保障工作取得阶段性新成效。圆满完成中国人民抗日战争暨世界反法西斯战争胜利80周年纪念活动保障工作，成功处置1起涉稳突发事件，3名物业响应人获市公安局嘉奖；扎实推进安全生产治本攻坚三年行动，核心指标完成率均达100%；积极开展技能培训等特色服务，打造养老服务综合体，形成“1中心+2机构+3驿站”格局。优化“陶然百味”助餐服务，为两家驿站引入堂食助餐服务。挺膺担当紧急补位《接诉即办》栏目拍摄，以八中四存校区周边环境治理为选题，仅用11天打通工程壁垒，圆满完成拍摄“闭环”。同时，牵头录制《向前一步》1期、协助录制《接诉即办》1期。</w:t>
      </w:r>
    </w:p>
    <w:p w14:paraId="5EECD5EB">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3.环境效益</w:t>
      </w:r>
    </w:p>
    <w:p w14:paraId="0156B4E9">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推动环境品质持续升级，全力保障大吉片项目建设。积极推进30户居民拆迁，完成梁启超故居最后一户强执工作。提前超额完成3014.43平米拆违任务，完成“十四五”期间最后6栋楼1.8万平米老旧小区改造。打造“幸福街巷 美好陶然”工程，完成3条胡同整治提升，建成2处“最美院落”，四平园垃圾驿站试行全流程封闭管理，优化辖区生态环境。依托“陶然数治”信息化平台实现治理数据“一表通”，提升网格治理实战效能。迭代“合陶伙伴3.0”，以全区首个北京市基层社会动员实践试点为抓手，统筹资源开展“合陶有我・众智共创”10项社区治理行动。推动姚家井小区引入市场化物业，完成市级点位销账。</w:t>
      </w:r>
    </w:p>
    <w:p w14:paraId="76E59E6B">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4.可持续性影响</w:t>
      </w:r>
    </w:p>
    <w:p w14:paraId="121E66E4">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聚焦9类重点领域开展集中整治督察，修订6项制度文件。平稳有序推进社区“两委”换届。细化“陶然青春”年轻干部培养措施，开展“青春思辨”风采展示活动，持续提升干部能力；举办“以雅启心、与时偕行”2025陶然江亭雅集，紧扣“文融西城、雅惠百姓”主线开展“1+5”系列活动。举办第23届“陶然杯”地书邀请赛，发布未成年人思想道德建设“德育十项行动”。成立街道文学艺术界联合会。</w:t>
      </w:r>
    </w:p>
    <w:p w14:paraId="5265D0AA">
      <w:pPr>
        <w:spacing w:line="600" w:lineRule="exact"/>
        <w:ind w:left="105" w:leftChars="50" w:firstLine="480" w:firstLineChars="15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5.服务对象满意度</w:t>
      </w:r>
    </w:p>
    <w:p w14:paraId="5DDA6F07">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2025年度，陶然亭街道办事处坚持以“精、心、能、力”四字工作法为基础，聚焦居民诉求，组织实施辖区与居民生活密切相关的公共服务工作，落实卫生健康、养老助残、社会救助、文化教育以及经济发展等方面的相关工作。制定企业大走访工作方案，落实街道班子联系服务重点企业制度，与重点企业深化对接交流，办结企业诉求，满意率100%。充分落实“暖心行动”，发挥专项热线作用，主要领导每周主动与高频诉求“老熟人”见面。全年无休保证陶然亭街道“12345市民服务热线”稳定顺利运行，办件科室及社区满意度达到100%，街巷服务、社区工作者经费、幼儿园经费、居民最低生活保障等重点项目服务对象满意度均达到90%以上，服务及受益对象满意度达到既定目标，提高了群众的幸福感、获得感和满意度。</w:t>
      </w:r>
    </w:p>
    <w:p w14:paraId="5CD8D428">
      <w:pPr>
        <w:spacing w:line="600" w:lineRule="exact"/>
        <w:ind w:left="105" w:leftChars="50" w:firstLine="480" w:firstLineChars="15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w:t>
      </w:r>
      <w:r>
        <w:rPr>
          <w:rFonts w:ascii="黑体" w:hAnsi="黑体" w:eastAsia="黑体" w:cs="宋体"/>
          <w:color w:val="000000"/>
          <w:kern w:val="0"/>
          <w:sz w:val="32"/>
          <w:szCs w:val="32"/>
        </w:rPr>
        <w:t>、预算管理</w:t>
      </w:r>
      <w:r>
        <w:rPr>
          <w:rFonts w:hint="eastAsia" w:ascii="黑体" w:hAnsi="黑体" w:eastAsia="黑体" w:cs="宋体"/>
          <w:color w:val="000000"/>
          <w:kern w:val="0"/>
          <w:sz w:val="32"/>
          <w:szCs w:val="32"/>
        </w:rPr>
        <w:t>情况分</w:t>
      </w:r>
      <w:r>
        <w:rPr>
          <w:rFonts w:ascii="黑体" w:hAnsi="黑体" w:eastAsia="黑体" w:cs="宋体"/>
          <w:color w:val="000000"/>
          <w:kern w:val="0"/>
          <w:sz w:val="32"/>
          <w:szCs w:val="32"/>
        </w:rPr>
        <w:t>析</w:t>
      </w:r>
    </w:p>
    <w:p w14:paraId="18C8CDCD">
      <w:pPr>
        <w:spacing w:line="600" w:lineRule="exact"/>
        <w:ind w:firstLine="640" w:firstLineChars="200"/>
        <w:rPr>
          <w:rFonts w:ascii="楷体_GB2312" w:eastAsia="楷体_GB2312"/>
          <w:sz w:val="32"/>
          <w:szCs w:val="32"/>
        </w:rPr>
      </w:pPr>
      <w:r>
        <w:rPr>
          <w:rFonts w:hint="eastAsia" w:ascii="楷体_GB2312" w:eastAsia="楷体_GB2312"/>
          <w:sz w:val="32"/>
          <w:szCs w:val="32"/>
        </w:rPr>
        <w:t>（一）财务管理</w:t>
      </w:r>
    </w:p>
    <w:p w14:paraId="5F5F4CED">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1.财务管理制度健全性</w:t>
      </w:r>
    </w:p>
    <w:p w14:paraId="358881C7">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2025年度陶然亭街道通过组织开展内部控制风险评估工作，梳理识别关键业务领域的风险点，修订了《陶然亭街道合同管理办法》，修改制定了《陶然亭街道政府购买服务负面清单》和《北京市西城区陶然亭街道政府购买服务指导性目录》，进一步完善了六大业务领域的内部控制制度体系，形成以预算管理为龙头、收支管理为基础、采购和合同管理为重点、资产和工程管理为补充的制度框架。制度体系明确了各业务环节的职责分工、审批流程、控制标准和风险防范要求，实现了经济活动全链条的制度化覆盖，为街道经济活动规范、安全、高效运行提供了坚实的制度保障。</w:t>
      </w:r>
    </w:p>
    <w:p w14:paraId="02D88698">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2.资金使用合规性和安全性</w:t>
      </w:r>
    </w:p>
    <w:p w14:paraId="5B526CF5">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陶然亭街道办事处制定有《支出与报销管理制度》，对管理部门及职责、支出审批程序等方面进行了规定。经费支出实行单位领导班子集体领导下的分级授权管理，严格按照批准后的预算方案执行，确保支出不超预算额度。办理支出前先按规定履行事前审批、采购、合同签订等前置程序。根据“三重一大”要求，符合上会条件的，由主任办公会、工委会审议决策后方可执行，根据资金支付审批权限及流程完成审批、报销手续。资金使用全部通过内控信息化系统填报审批，部门可实时掌握经费从年初预算到预算调整，再到经费支出的全流程数据，便于财务部门开展预算执行情况分析和应用，促进提升本单位资金管理效率。</w:t>
      </w:r>
    </w:p>
    <w:p w14:paraId="6BD96008">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3.会计基础信息完善性</w:t>
      </w:r>
    </w:p>
    <w:p w14:paraId="6B0EA614">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陶然亭街道办事处严格按照《中华人民共和国会计法》和《会计基础工作规范》的要求，合理设置财务岗位，明确岗位职责，落实了“不相容岗位相互分离”的规定，规范执行凭证审核、会计核算、会计稽核等相关工作，有效保障了本部门会计基础信息准确性、完善性。严格预算编制，人员、公用类预算按照定额标准编制，项目预算总额不超过财政局下达预算控制数，涉及定额标准的按照定额标准编制，完善预算基础信息。经费支出严格遵守“三重一大”、政府采购、签订合同等事前流程，严格审核支出报销原始资料，按照政府会计准则及财务管理的相关规定，合理、科学使用支出科目及会计科目。</w:t>
      </w:r>
    </w:p>
    <w:p w14:paraId="6640AE6E">
      <w:pPr>
        <w:numPr>
          <w:numId w:val="0"/>
        </w:numPr>
        <w:spacing w:line="600" w:lineRule="exact"/>
        <w:ind w:firstLine="640" w:firstLineChars="200"/>
        <w:rPr>
          <w:rFonts w:hint="eastAsia" w:ascii="楷体_GB2312" w:eastAsia="楷体_GB2312"/>
          <w:sz w:val="32"/>
          <w:szCs w:val="32"/>
        </w:rPr>
      </w:pPr>
      <w:r>
        <w:rPr>
          <w:rFonts w:hint="eastAsia" w:ascii="楷体_GB2312" w:eastAsia="楷体_GB2312"/>
          <w:sz w:val="32"/>
          <w:szCs w:val="32"/>
          <w:lang w:eastAsia="zh-CN"/>
        </w:rPr>
        <w:t>（二）</w:t>
      </w:r>
      <w:r>
        <w:rPr>
          <w:rFonts w:hint="eastAsia" w:ascii="楷体_GB2312" w:eastAsia="楷体_GB2312"/>
          <w:sz w:val="32"/>
          <w:szCs w:val="32"/>
        </w:rPr>
        <w:t>资产管理</w:t>
      </w:r>
    </w:p>
    <w:p w14:paraId="6C21DDFF">
      <w:pPr>
        <w:pStyle w:val="2"/>
        <w:numPr>
          <w:numId w:val="0"/>
        </w:numPr>
        <w:ind w:firstLine="640" w:firstLineChars="200"/>
        <w:rPr>
          <w:rFonts w:hint="eastAsia" w:ascii="仿宋_GB2312" w:hAnsi="宋体" w:eastAsia="仿宋_GB2312" w:cs="宋体"/>
          <w:color w:val="000000"/>
          <w:kern w:val="0"/>
          <w:sz w:val="32"/>
          <w:szCs w:val="32"/>
          <w:lang w:val="en-US" w:eastAsia="zh-CN" w:bidi="ar-SA"/>
        </w:rPr>
      </w:pPr>
      <w:r>
        <w:rPr>
          <w:rFonts w:hint="eastAsia" w:ascii="仿宋_GB2312" w:hAnsi="宋体" w:eastAsia="仿宋_GB2312" w:cs="宋体"/>
          <w:color w:val="000000"/>
          <w:kern w:val="0"/>
          <w:sz w:val="32"/>
          <w:szCs w:val="32"/>
          <w:lang w:val="en-US" w:eastAsia="zh-CN" w:bidi="ar-SA"/>
        </w:rPr>
        <w:t>陶然亭街道办事处严格执行《西城区行政事业单位国有资产处置管理办法》以及本街道《货币资金管理制度》《固定资产管理制度》《办公用品及低值易耗品管理制度》等有关规定，规范了本街道的资产管理工作。综合办（服务保障）作为本单位固定资产归口管理部门，负责固定资产动态库的登记、维护，资产条形码、购置资产的预算编制、办理验收入库、资产转移、固定资产的明细账核对、实物查验及组织清查盘点等工作，会同综合办（财政）对街道固定资产进行清查、办理本街道国有资产的配置、处置等事项的报批手续等工作。2025年度，固定资产配置、采购、领用、保管、处置以及监督管理均符合财政部门和本街道内控制度的规定。</w:t>
      </w:r>
    </w:p>
    <w:p w14:paraId="024039E9">
      <w:pPr>
        <w:numPr>
          <w:ilvl w:val="0"/>
          <w:numId w:val="1"/>
        </w:numPr>
        <w:spacing w:line="600" w:lineRule="exact"/>
        <w:ind w:left="0" w:leftChars="0" w:firstLine="640" w:firstLineChars="200"/>
        <w:rPr>
          <w:rFonts w:ascii="楷体_GB2312" w:eastAsia="楷体_GB2312"/>
          <w:sz w:val="32"/>
          <w:szCs w:val="32"/>
        </w:rPr>
      </w:pPr>
      <w:r>
        <w:rPr>
          <w:rFonts w:hint="eastAsia" w:ascii="楷体_GB2312" w:eastAsia="楷体_GB2312"/>
          <w:sz w:val="32"/>
          <w:szCs w:val="32"/>
        </w:rPr>
        <w:t>绩效</w:t>
      </w:r>
      <w:r>
        <w:rPr>
          <w:rFonts w:ascii="楷体_GB2312" w:eastAsia="楷体_GB2312"/>
          <w:sz w:val="32"/>
          <w:szCs w:val="32"/>
        </w:rPr>
        <w:t>管理</w:t>
      </w:r>
    </w:p>
    <w:p w14:paraId="32108B89">
      <w:pPr>
        <w:pStyle w:val="2"/>
        <w:numPr>
          <w:ilvl w:val="0"/>
          <w:numId w:val="0"/>
        </w:numPr>
        <w:ind w:firstLine="640" w:firstLineChars="200"/>
        <w:rPr>
          <w:rFonts w:hint="eastAsia" w:ascii="仿宋_GB2312" w:hAnsi="宋体" w:eastAsia="仿宋_GB2312" w:cs="宋体"/>
          <w:color w:val="000000"/>
          <w:kern w:val="0"/>
          <w:sz w:val="32"/>
          <w:szCs w:val="32"/>
          <w:lang w:val="en-US" w:eastAsia="zh-CN" w:bidi="ar-SA"/>
        </w:rPr>
      </w:pPr>
      <w:r>
        <w:rPr>
          <w:rFonts w:hint="eastAsia" w:ascii="仿宋_GB2312" w:hAnsi="宋体" w:eastAsia="仿宋_GB2312" w:cs="宋体"/>
          <w:color w:val="000000"/>
          <w:kern w:val="0"/>
          <w:sz w:val="32"/>
          <w:szCs w:val="32"/>
          <w:lang w:val="en-US" w:eastAsia="zh-CN" w:bidi="ar-SA"/>
        </w:rPr>
        <w:t>陶然亭街道办事处为加强绩效管理，由综合办（财政）牵头负责本街道预算绩效管理工作的部署。从绩效目标设定抓起，在预算编制前开展了绩效目标填报的专项培训，提高绩效目标的科学性和合理性，扎实打好本部门预算绩效管理工作的基础。同时，按照区财政预算绩效管理的工作要求，明确落实各科室绩效管理职责，对部门绩效实施全过程管理。2025年度所有预算项目均填报绩效目标，推进重点项目资金事前绩效评估，并按照工作进度，开展绩效目标运行监控、成本预算绩效分析、绩效自评等预算绩效管理工作，并注重事后监督，强化单位绩效管理和支出成本控制，做到绩效运行监控全覆盖。</w:t>
      </w:r>
    </w:p>
    <w:p w14:paraId="4DFDDB2D">
      <w:pPr>
        <w:numPr>
          <w:ilvl w:val="0"/>
          <w:numId w:val="1"/>
        </w:numPr>
        <w:spacing w:line="600" w:lineRule="exact"/>
        <w:ind w:left="0" w:leftChars="0" w:firstLine="640" w:firstLineChars="200"/>
        <w:rPr>
          <w:rFonts w:ascii="楷体_GB2312" w:eastAsia="楷体_GB2312"/>
          <w:sz w:val="32"/>
          <w:szCs w:val="32"/>
        </w:rPr>
      </w:pPr>
      <w:r>
        <w:rPr>
          <w:rFonts w:hint="eastAsia" w:ascii="楷体_GB2312" w:eastAsia="楷体_GB2312"/>
          <w:sz w:val="32"/>
          <w:szCs w:val="32"/>
        </w:rPr>
        <w:t>结转结余率</w:t>
      </w:r>
    </w:p>
    <w:p w14:paraId="5922F6AB">
      <w:pPr>
        <w:pStyle w:val="2"/>
        <w:numPr>
          <w:ilvl w:val="0"/>
          <w:numId w:val="0"/>
        </w:numPr>
        <w:ind w:firstLine="640" w:firstLineChars="200"/>
        <w:rPr>
          <w:rFonts w:hint="eastAsia" w:ascii="仿宋_GB2312" w:hAnsi="宋体" w:eastAsia="仿宋_GB2312" w:cs="宋体"/>
          <w:color w:val="000000"/>
          <w:kern w:val="0"/>
          <w:sz w:val="32"/>
          <w:szCs w:val="32"/>
          <w:lang w:val="en-US" w:eastAsia="zh-CN" w:bidi="ar-SA"/>
        </w:rPr>
      </w:pPr>
      <w:r>
        <w:rPr>
          <w:rFonts w:hint="eastAsia" w:ascii="仿宋_GB2312" w:hAnsi="宋体" w:eastAsia="仿宋_GB2312" w:cs="宋体"/>
          <w:color w:val="000000"/>
          <w:kern w:val="0"/>
          <w:sz w:val="32"/>
          <w:szCs w:val="32"/>
          <w:lang w:val="en-US" w:eastAsia="zh-CN" w:bidi="ar-SA"/>
        </w:rPr>
        <w:t>按照决算口径，陶然亭街道办事处财政拨款无结转结余，结转结余率为0。</w:t>
      </w:r>
    </w:p>
    <w:p w14:paraId="15A5B306">
      <w:pPr>
        <w:numPr>
          <w:ilvl w:val="0"/>
          <w:numId w:val="1"/>
        </w:numPr>
        <w:spacing w:line="600" w:lineRule="exact"/>
        <w:ind w:left="0" w:leftChars="0" w:firstLine="640" w:firstLineChars="200"/>
        <w:rPr>
          <w:rFonts w:ascii="楷体_GB2312" w:eastAsia="楷体_GB2312"/>
          <w:sz w:val="32"/>
          <w:szCs w:val="32"/>
        </w:rPr>
      </w:pPr>
      <w:r>
        <w:rPr>
          <w:rFonts w:hint="eastAsia" w:ascii="楷体_GB2312" w:eastAsia="楷体_GB2312"/>
          <w:sz w:val="32"/>
          <w:szCs w:val="32"/>
        </w:rPr>
        <w:t>部门</w:t>
      </w:r>
      <w:r>
        <w:rPr>
          <w:rFonts w:ascii="楷体_GB2312" w:eastAsia="楷体_GB2312"/>
          <w:sz w:val="32"/>
          <w:szCs w:val="32"/>
        </w:rPr>
        <w:t>预决算差异率</w:t>
      </w:r>
    </w:p>
    <w:p w14:paraId="04DD3502">
      <w:pPr>
        <w:pStyle w:val="4"/>
        <w:keepNext w:val="0"/>
        <w:keepLines w:val="0"/>
        <w:pageBreakBefore w:val="0"/>
        <w:widowControl w:val="0"/>
        <w:kinsoku/>
        <w:wordWrap/>
        <w:overflowPunct/>
        <w:topLinePunct w:val="0"/>
        <w:autoSpaceDE/>
        <w:autoSpaceDN/>
        <w:bidi w:val="0"/>
        <w:spacing w:line="360" w:lineRule="auto"/>
        <w:ind w:firstLine="640" w:firstLineChars="200"/>
        <w:textAlignment w:val="auto"/>
      </w:pPr>
      <w:r>
        <w:rPr>
          <w:rFonts w:hint="eastAsia" w:ascii="仿宋_GB2312" w:hAnsi="仿宋_GB2312" w:eastAsia="仿宋_GB2312" w:cs="仿宋_GB2312"/>
          <w:sz w:val="32"/>
          <w:szCs w:val="32"/>
          <w:highlight w:val="none"/>
        </w:rPr>
        <w:t>陶然亭街道办事处年初批复预算数22,260.46万元，决算数22,385.01万元。预决算差异率</w:t>
      </w:r>
      <w:r>
        <w:rPr>
          <w:rFonts w:hint="eastAsia" w:ascii="仿宋_GB2312" w:hAnsi="仿宋_GB2312" w:eastAsia="仿宋_GB2312" w:cs="仿宋_GB2312"/>
          <w:sz w:val="32"/>
          <w:szCs w:val="32"/>
          <w:highlight w:val="none"/>
          <w:lang w:val="en-US" w:eastAsia="zh-CN"/>
        </w:rPr>
        <w:t>0.56</w:t>
      </w:r>
      <w:r>
        <w:rPr>
          <w:rFonts w:hint="eastAsia" w:ascii="仿宋_GB2312" w:hAnsi="仿宋_GB2312" w:eastAsia="仿宋_GB2312" w:cs="仿宋_GB2312"/>
          <w:sz w:val="32"/>
          <w:szCs w:val="32"/>
          <w:highlight w:val="none"/>
        </w:rPr>
        <w:t>%。</w:t>
      </w:r>
    </w:p>
    <w:p w14:paraId="356E9E85">
      <w:pPr>
        <w:spacing w:line="600" w:lineRule="exact"/>
        <w:ind w:left="105" w:leftChars="50" w:firstLine="480" w:firstLineChars="150"/>
        <w:rPr>
          <w:rFonts w:ascii="黑体" w:hAnsi="黑体" w:eastAsia="黑体"/>
          <w:sz w:val="32"/>
          <w:szCs w:val="32"/>
        </w:rPr>
      </w:pPr>
      <w:r>
        <w:rPr>
          <w:rFonts w:hint="eastAsia" w:ascii="黑体" w:hAnsi="黑体" w:eastAsia="黑体"/>
          <w:sz w:val="32"/>
          <w:szCs w:val="32"/>
        </w:rPr>
        <w:t>五、总体</w:t>
      </w:r>
      <w:r>
        <w:rPr>
          <w:rFonts w:ascii="黑体" w:hAnsi="黑体" w:eastAsia="黑体"/>
          <w:sz w:val="32"/>
          <w:szCs w:val="32"/>
        </w:rPr>
        <w:t>评价结论</w:t>
      </w:r>
    </w:p>
    <w:p w14:paraId="1CF0EF5F">
      <w:pPr>
        <w:pStyle w:val="4"/>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楷体_GB2312" w:hAnsi="Calibri" w:eastAsia="楷体_GB2312" w:cs="Times New Roman"/>
          <w:color w:val="auto"/>
          <w:kern w:val="2"/>
          <w:sz w:val="32"/>
          <w:szCs w:val="32"/>
          <w:lang w:val="en-US" w:eastAsia="zh-CN" w:bidi="ar-SA"/>
        </w:rPr>
      </w:pPr>
      <w:r>
        <w:rPr>
          <w:rFonts w:hint="eastAsia" w:ascii="楷体_GB2312" w:eastAsia="楷体_GB2312" w:cs="Times New Roman"/>
          <w:color w:val="auto"/>
          <w:kern w:val="2"/>
          <w:sz w:val="32"/>
          <w:szCs w:val="32"/>
          <w:lang w:val="en-US" w:eastAsia="zh-CN" w:bidi="ar-SA"/>
        </w:rPr>
        <w:t>（一）</w:t>
      </w:r>
      <w:r>
        <w:rPr>
          <w:rFonts w:hint="eastAsia" w:ascii="楷体_GB2312" w:hAnsi="Calibri" w:eastAsia="楷体_GB2312" w:cs="Times New Roman"/>
          <w:color w:val="auto"/>
          <w:kern w:val="2"/>
          <w:sz w:val="32"/>
          <w:szCs w:val="32"/>
          <w:lang w:val="en-US" w:eastAsia="zh-CN" w:bidi="ar-SA"/>
        </w:rPr>
        <w:t>预算编制的精细化程度不足</w:t>
      </w:r>
    </w:p>
    <w:p w14:paraId="4B3A10FD">
      <w:pPr>
        <w:pStyle w:val="4"/>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仿宋_GB2312" w:hAnsi="宋体" w:eastAsia="仿宋_GB2312" w:cs="宋体"/>
          <w:color w:val="000000"/>
          <w:kern w:val="0"/>
          <w:sz w:val="32"/>
          <w:szCs w:val="32"/>
          <w:lang w:val="en-US"/>
        </w:rPr>
      </w:pPr>
      <w:r>
        <w:rPr>
          <w:rFonts w:hint="eastAsia" w:ascii="仿宋_GB2312" w:hAnsi="宋体" w:eastAsia="仿宋_GB2312" w:cs="宋体"/>
          <w:color w:val="000000"/>
          <w:kern w:val="0"/>
          <w:sz w:val="32"/>
          <w:szCs w:val="32"/>
        </w:rPr>
        <w:t>部分项目</w:t>
      </w:r>
      <w:r>
        <w:rPr>
          <w:rFonts w:hint="eastAsia" w:ascii="仿宋_GB2312" w:hAnsi="宋体" w:eastAsia="仿宋_GB2312" w:cs="宋体"/>
          <w:color w:val="000000"/>
          <w:kern w:val="0"/>
          <w:sz w:val="32"/>
          <w:szCs w:val="32"/>
          <w:lang w:val="en-US" w:eastAsia="zh-CN"/>
        </w:rPr>
        <w:t>的前期调研论证不够充分，预算编制中涉及的数量、单价等因素缺乏合理的论证和依据，且部分项目年中调剂频繁、支出进度不均衡、个别项目执行率低于预期，存在年中调增项目年末执行进度不到50%的情况，不利于充分发挥财政资金的效益。</w:t>
      </w:r>
    </w:p>
    <w:p w14:paraId="10D00EA7">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楷体_GB2312" w:hAnsi="Calibri" w:eastAsia="楷体_GB2312" w:cs="Times New Roman"/>
          <w:color w:val="auto"/>
          <w:kern w:val="2"/>
          <w:sz w:val="32"/>
          <w:szCs w:val="32"/>
          <w:lang w:val="en-US" w:eastAsia="zh-CN" w:bidi="ar-SA"/>
        </w:rPr>
      </w:pPr>
      <w:r>
        <w:rPr>
          <w:rFonts w:hint="eastAsia" w:ascii="楷体_GB2312" w:hAnsi="Calibri" w:eastAsia="楷体_GB2312" w:cs="Times New Roman"/>
          <w:color w:val="auto"/>
          <w:kern w:val="2"/>
          <w:sz w:val="32"/>
          <w:szCs w:val="32"/>
          <w:lang w:val="en-US" w:eastAsia="zh-CN" w:bidi="ar-SA"/>
        </w:rPr>
        <w:t>（二）绩效目标设定的科学性和合理性不足</w:t>
      </w:r>
    </w:p>
    <w:p w14:paraId="3D813CBB">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lang w:val="en-US" w:eastAsia="zh-CN"/>
        </w:rPr>
        <w:t>部分项目的相关工作人员的绩效管理意识不足，对绩效指标的认识</w:t>
      </w:r>
      <w:r>
        <w:rPr>
          <w:rFonts w:hint="eastAsia" w:ascii="仿宋_GB2312" w:hAnsi="宋体" w:eastAsia="仿宋_GB2312" w:cs="宋体"/>
          <w:color w:val="000000"/>
          <w:kern w:val="0"/>
          <w:sz w:val="32"/>
          <w:szCs w:val="32"/>
        </w:rPr>
        <w:t>和理解</w:t>
      </w:r>
      <w:r>
        <w:rPr>
          <w:rFonts w:hint="eastAsia" w:ascii="仿宋_GB2312" w:hAnsi="宋体" w:eastAsia="仿宋_GB2312" w:cs="宋体"/>
          <w:color w:val="000000"/>
          <w:kern w:val="0"/>
          <w:sz w:val="32"/>
          <w:szCs w:val="32"/>
          <w:lang w:val="en-US" w:eastAsia="zh-CN"/>
        </w:rPr>
        <w:t>有所欠缺。项目绩效目标设定与实际工作内容相关性不足，采用的定性指标占比过大，指标值不够</w:t>
      </w:r>
      <w:r>
        <w:rPr>
          <w:rFonts w:hint="eastAsia" w:ascii="仿宋_GB2312" w:hAnsi="宋体" w:eastAsia="仿宋_GB2312" w:cs="宋体"/>
          <w:color w:val="000000"/>
          <w:kern w:val="0"/>
          <w:sz w:val="32"/>
          <w:szCs w:val="32"/>
        </w:rPr>
        <w:t>细化、量化，与工作方案中的工作实施步骤、时间进度不匹配，不利于实施目标管理和绩效考评。</w:t>
      </w:r>
    </w:p>
    <w:p w14:paraId="47B3E5CB">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楷体_GB2312" w:hAnsi="Calibri" w:eastAsia="楷体_GB2312" w:cs="Times New Roman"/>
          <w:color w:val="auto"/>
          <w:kern w:val="2"/>
          <w:sz w:val="32"/>
          <w:szCs w:val="32"/>
          <w:lang w:val="en-US" w:eastAsia="zh-CN" w:bidi="ar-SA"/>
        </w:rPr>
      </w:pPr>
      <w:r>
        <w:rPr>
          <w:rFonts w:hint="eastAsia" w:ascii="楷体_GB2312" w:hAnsi="Calibri" w:eastAsia="楷体_GB2312" w:cs="Times New Roman"/>
          <w:color w:val="auto"/>
          <w:kern w:val="2"/>
          <w:sz w:val="32"/>
          <w:szCs w:val="32"/>
          <w:lang w:val="en-US" w:eastAsia="zh-CN" w:bidi="ar-SA"/>
        </w:rPr>
        <w:t>（三）部分项目未制定工作方案或工作方案不完善</w:t>
      </w:r>
    </w:p>
    <w:p w14:paraId="2A1DB8CF">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部分项目未从预算实施主体履职角度出发，合理制定科学、可行的工作实施方案。未明确项目的工作内容、工作目标、人工分工及职责、工作实施步骤及时间进度、质量控制及风险控制措施等重要工作环节的统筹计划，不利于保障绩效目标的实现。</w:t>
      </w:r>
    </w:p>
    <w:p w14:paraId="25C0B449">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楷体_GB2312" w:hAnsi="Calibri" w:eastAsia="楷体_GB2312" w:cs="Times New Roman"/>
          <w:color w:val="auto"/>
          <w:kern w:val="2"/>
          <w:sz w:val="32"/>
          <w:szCs w:val="32"/>
          <w:lang w:val="en-US" w:eastAsia="zh-CN" w:bidi="ar-SA"/>
        </w:rPr>
      </w:pPr>
      <w:r>
        <w:rPr>
          <w:rFonts w:hint="eastAsia" w:ascii="楷体_GB2312" w:hAnsi="Calibri" w:eastAsia="楷体_GB2312" w:cs="Times New Roman"/>
          <w:color w:val="auto"/>
          <w:kern w:val="2"/>
          <w:sz w:val="32"/>
          <w:szCs w:val="32"/>
          <w:lang w:val="en-US" w:eastAsia="zh-CN" w:bidi="ar-SA"/>
        </w:rPr>
        <w:t>（四）预算管理政策更新、培训不及时</w:t>
      </w:r>
    </w:p>
    <w:p w14:paraId="7F6E64A6">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仿宋_GB2312" w:hAnsi="楷体_GB2312" w:eastAsia="仿宋_GB2312" w:cs="楷体_GB2312"/>
          <w:sz w:val="32"/>
          <w:szCs w:val="32"/>
          <w:u w:val="none"/>
          <w:lang w:val="en-US" w:eastAsia="zh-CN"/>
        </w:rPr>
      </w:pPr>
      <w:r>
        <w:rPr>
          <w:rFonts w:hint="eastAsia" w:ascii="仿宋_GB2312" w:hAnsi="宋体" w:eastAsia="仿宋_GB2312" w:cs="宋体"/>
          <w:color w:val="000000"/>
          <w:kern w:val="0"/>
          <w:sz w:val="32"/>
          <w:szCs w:val="32"/>
          <w:lang w:val="en-US" w:eastAsia="zh-CN"/>
        </w:rPr>
        <w:t>由于部分政策更新和培训工作开展不及时，导致部分项目人员对政策的认识和理解不够清晰，在市、区两级预算管理政策执行方面出现一定偏差，部分项目在合同内容约定、工作方案制订以及成果资料整理中存在操作不规范的情况。</w:t>
      </w:r>
    </w:p>
    <w:p w14:paraId="63AA0C48">
      <w:pPr>
        <w:numPr>
          <w:ilvl w:val="0"/>
          <w:numId w:val="2"/>
        </w:numPr>
        <w:spacing w:line="600" w:lineRule="exact"/>
        <w:ind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措施建议</w:t>
      </w:r>
    </w:p>
    <w:p w14:paraId="43562494">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楷体_GB2312" w:hAnsi="Calibri" w:eastAsia="楷体_GB2312" w:cs="Times New Roman"/>
          <w:color w:val="auto"/>
          <w:kern w:val="2"/>
          <w:sz w:val="32"/>
          <w:szCs w:val="32"/>
          <w:lang w:val="en-US" w:eastAsia="zh-CN" w:bidi="ar-SA"/>
        </w:rPr>
      </w:pPr>
      <w:r>
        <w:rPr>
          <w:rFonts w:hint="eastAsia" w:ascii="楷体_GB2312" w:hAnsi="Calibri" w:eastAsia="楷体_GB2312" w:cs="Times New Roman"/>
          <w:color w:val="auto"/>
          <w:kern w:val="2"/>
          <w:sz w:val="32"/>
          <w:szCs w:val="32"/>
          <w:lang w:val="en-US" w:eastAsia="zh-CN" w:bidi="ar-SA"/>
        </w:rPr>
        <w:t>（一）做好项目前期调研，提高预算编制的精准度</w:t>
      </w:r>
    </w:p>
    <w:p w14:paraId="746D5F95">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预算编制过程中应严格遵循“零基预算”的原则，充分做好项目的需求调研工作，根据预算年度的实际情况，开展实地调研、需求摸排，结合项目实施目标、范围、标准，精准估算数量、单价等预算测算的核心要素，参照现行财政定额标准、市场公允价格及同类项目执行情况，合理测算预算资金，避免出现预算执行率偏低或年中调剂频繁的情况。</w:t>
      </w:r>
    </w:p>
    <w:p w14:paraId="532A55CD">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楷体_GB2312" w:hAnsi="Calibri" w:eastAsia="楷体_GB2312" w:cs="Times New Roman"/>
          <w:color w:val="auto"/>
          <w:kern w:val="2"/>
          <w:sz w:val="32"/>
          <w:szCs w:val="32"/>
          <w:lang w:val="en-US" w:eastAsia="zh-CN" w:bidi="ar-SA"/>
        </w:rPr>
      </w:pPr>
      <w:r>
        <w:rPr>
          <w:rFonts w:hint="eastAsia" w:ascii="楷体_GB2312" w:hAnsi="Calibri" w:eastAsia="楷体_GB2312" w:cs="Times New Roman"/>
          <w:color w:val="auto"/>
          <w:kern w:val="2"/>
          <w:sz w:val="32"/>
          <w:szCs w:val="32"/>
          <w:lang w:val="en-US" w:eastAsia="zh-CN" w:bidi="ar-SA"/>
        </w:rPr>
        <w:t>（二）压实绩效管理责任，提升绩效目标填报的合理性</w:t>
      </w:r>
    </w:p>
    <w:p w14:paraId="1F746761">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将绩效目标填报和审核的工作责任落实到具体的岗位，以绩效管理工作中发现的问题为导向，总结经验和不足，有针对性地对相关工作人员开展培训，提高绩效目标设置的规范性、科学性和合理性，强化绩效指标的可行性和细化、量化程度，保障绩效目标可衡量、可考核，以促进提升项目预算管理水平和产出</w:t>
      </w:r>
      <w:r>
        <w:rPr>
          <w:rFonts w:hint="eastAsia" w:ascii="仿宋_GB2312" w:hAnsi="宋体" w:eastAsia="仿宋_GB2312" w:cs="宋体"/>
          <w:color w:val="000000"/>
          <w:kern w:val="0"/>
          <w:sz w:val="32"/>
          <w:szCs w:val="32"/>
          <w:lang w:val="en-US" w:eastAsia="zh-CN"/>
        </w:rPr>
        <w:t>效果。</w:t>
      </w:r>
    </w:p>
    <w:p w14:paraId="59131547">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楷体_GB2312" w:hAnsi="Calibri" w:eastAsia="楷体_GB2312" w:cs="Times New Roman"/>
          <w:color w:val="auto"/>
          <w:kern w:val="2"/>
          <w:sz w:val="32"/>
          <w:szCs w:val="32"/>
          <w:lang w:val="en-US" w:eastAsia="zh-CN" w:bidi="ar-SA"/>
        </w:rPr>
      </w:pPr>
      <w:r>
        <w:rPr>
          <w:rFonts w:hint="eastAsia" w:ascii="楷体_GB2312" w:hAnsi="Calibri" w:eastAsia="楷体_GB2312" w:cs="Times New Roman"/>
          <w:color w:val="auto"/>
          <w:kern w:val="2"/>
          <w:sz w:val="32"/>
          <w:szCs w:val="32"/>
          <w:lang w:val="en-US" w:eastAsia="zh-CN" w:bidi="ar-SA"/>
        </w:rPr>
        <w:t>（三）科学制定项目实施方案，加强项目的统筹管理</w:t>
      </w:r>
    </w:p>
    <w:p w14:paraId="3327DCDC">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在项目立项阶段，预算责任主体应及时制定科学、可行工作实施方案，细化项目执行过程中各项工作安排和完成的时间节点、质量和风险管控措施。如发生预算调整、政策变化等特殊情况，应及时对相关工作方案进行调整并经批准后执行，以保障项目绩效目标能够按预定计划实现。</w:t>
      </w:r>
    </w:p>
    <w:p w14:paraId="55BA2EE8">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楷体_GB2312" w:hAnsi="Calibri" w:eastAsia="楷体_GB2312" w:cs="Times New Roman"/>
          <w:color w:val="auto"/>
          <w:kern w:val="2"/>
          <w:sz w:val="32"/>
          <w:szCs w:val="32"/>
          <w:lang w:val="en-US" w:eastAsia="zh-CN" w:bidi="ar-SA"/>
        </w:rPr>
      </w:pPr>
      <w:r>
        <w:rPr>
          <w:rFonts w:hint="eastAsia" w:ascii="楷体_GB2312" w:hAnsi="Calibri" w:eastAsia="楷体_GB2312" w:cs="Times New Roman"/>
          <w:color w:val="auto"/>
          <w:kern w:val="2"/>
          <w:sz w:val="32"/>
          <w:szCs w:val="32"/>
          <w:lang w:val="en-US" w:eastAsia="zh-CN" w:bidi="ar-SA"/>
        </w:rPr>
        <w:t>（四）落实部门管理职责，保障政策执行的规范性</w:t>
      </w:r>
    </w:p>
    <w:p w14:paraId="6A93DF16">
      <w:pPr>
        <w:keepNext w:val="0"/>
        <w:keepLines w:val="0"/>
        <w:pageBreakBefore w:val="0"/>
        <w:widowControl w:val="0"/>
        <w:kinsoku/>
        <w:wordWrap/>
        <w:overflowPunct/>
        <w:topLinePunct w:val="0"/>
        <w:autoSpaceDE/>
        <w:autoSpaceDN/>
        <w:bidi w:val="0"/>
        <w:spacing w:line="360" w:lineRule="auto"/>
        <w:ind w:firstLine="640" w:firstLineChars="200"/>
        <w:textAlignment w:val="auto"/>
      </w:pPr>
      <w:r>
        <w:rPr>
          <w:rFonts w:hint="eastAsia" w:ascii="仿宋_GB2312" w:hAnsi="宋体" w:eastAsia="仿宋_GB2312" w:cs="宋体"/>
          <w:color w:val="000000"/>
          <w:kern w:val="0"/>
          <w:sz w:val="32"/>
          <w:szCs w:val="32"/>
          <w:lang w:val="en-US" w:eastAsia="zh-CN"/>
        </w:rPr>
        <w:t>进一步明确、细化相关部门的管理职责，对于主管部门颁布的管理政策，应由相关归口管理部门制定培训计划及时进行政策贯宣和培训。如涉及与本单位内控制度不一致的应及时根据政策精神进行更新调整，保证政策及时落地。在预算执行过程中，加强内部监督，聚焦政策更新调整的执行情况，不断提升本单位政策执行的规范性。</w:t>
      </w:r>
    </w:p>
    <w:sectPr>
      <w:footerReference r:id="rId3" w:type="default"/>
      <w:footerReference r:id="rId4"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roman"/>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88EAC">
    <w:pPr>
      <w:pStyle w:val="5"/>
      <w:framePr w:wrap="around" w:vAnchor="text" w:hAnchor="margin" w:xAlign="center" w:y="1"/>
      <w:rPr>
        <w:rStyle w:val="8"/>
      </w:rPr>
    </w:pPr>
    <w:r>
      <w:fldChar w:fldCharType="begin"/>
    </w:r>
    <w:r>
      <w:rPr>
        <w:rStyle w:val="8"/>
      </w:rPr>
      <w:instrText xml:space="preserve">PAGE  </w:instrText>
    </w:r>
    <w:r>
      <w:fldChar w:fldCharType="separate"/>
    </w:r>
    <w:r>
      <w:rPr>
        <w:rStyle w:val="8"/>
      </w:rPr>
      <w:t>23</w:t>
    </w:r>
    <w:r>
      <w:fldChar w:fldCharType="end"/>
    </w:r>
  </w:p>
  <w:p w14:paraId="207B49C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2E753">
    <w:pPr>
      <w:pStyle w:val="5"/>
      <w:framePr w:wrap="around" w:vAnchor="text" w:hAnchor="margin" w:xAlign="center" w:y="1"/>
      <w:rPr>
        <w:rStyle w:val="8"/>
      </w:rPr>
    </w:pPr>
    <w:r>
      <w:fldChar w:fldCharType="begin"/>
    </w:r>
    <w:r>
      <w:rPr>
        <w:rStyle w:val="8"/>
      </w:rPr>
      <w:instrText xml:space="preserve">PAGE  </w:instrText>
    </w:r>
    <w:r>
      <w:fldChar w:fldCharType="separate"/>
    </w:r>
    <w:r>
      <w:rPr>
        <w:rStyle w:val="8"/>
      </w:rPr>
      <w:t>15</w:t>
    </w:r>
    <w:r>
      <w:fldChar w:fldCharType="end"/>
    </w:r>
  </w:p>
  <w:p w14:paraId="5A9342F9">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CD911"/>
    <w:multiLevelType w:val="singleLevel"/>
    <w:tmpl w:val="BFFCD911"/>
    <w:lvl w:ilvl="0" w:tentative="0">
      <w:start w:val="2"/>
      <w:numFmt w:val="chineseCounting"/>
      <w:suff w:val="nothing"/>
      <w:lvlText w:val="（%1）"/>
      <w:lvlJc w:val="left"/>
      <w:rPr>
        <w:rFonts w:hint="eastAsia"/>
      </w:rPr>
    </w:lvl>
  </w:abstractNum>
  <w:abstractNum w:abstractNumId="1">
    <w:nsid w:val="FDEA9B1B"/>
    <w:multiLevelType w:val="singleLevel"/>
    <w:tmpl w:val="FDEA9B1B"/>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F6ACC1"/>
    <w:rsid w:val="5B194E94"/>
    <w:rsid w:val="6BEEEA00"/>
    <w:rsid w:val="7AEBAE71"/>
    <w:rsid w:val="7B9FBA0D"/>
    <w:rsid w:val="7FBEAEF1"/>
    <w:rsid w:val="EF556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2"/>
    <w:basedOn w:val="1"/>
    <w:next w:val="1"/>
    <w:qFormat/>
    <w:uiPriority w:val="0"/>
    <w:pPr>
      <w:keepNext/>
      <w:keepLines/>
      <w:widowControl w:val="0"/>
      <w:spacing w:before="100" w:beforeAutospacing="1" w:after="100" w:afterAutospacing="1"/>
      <w:outlineLvl w:val="1"/>
    </w:pPr>
    <w:rPr>
      <w:rFonts w:ascii="Cambria" w:hAnsi="Cambria" w:eastAsia="黑体" w:cs="Times New Roman"/>
      <w:b/>
      <w:bCs/>
      <w:kern w:val="0"/>
      <w:sz w:val="36"/>
      <w:szCs w:val="32"/>
      <w:lang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纯文本1"/>
    <w:basedOn w:val="1"/>
    <w:qFormat/>
    <w:uiPriority w:val="0"/>
    <w:rPr>
      <w:rFonts w:ascii="宋体" w:hAnsi="Courier New"/>
    </w:rPr>
  </w:style>
  <w:style w:type="paragraph" w:styleId="4">
    <w:name w:val="Normal Indent"/>
    <w:basedOn w:val="1"/>
    <w:qFormat/>
    <w:uiPriority w:val="0"/>
    <w:pPr>
      <w:ind w:firstLine="200" w:firstLineChars="200"/>
    </w:pPr>
  </w:style>
  <w:style w:type="paragraph" w:styleId="5">
    <w:name w:val="footer"/>
    <w:basedOn w:val="1"/>
    <w:qFormat/>
    <w:uiPriority w:val="0"/>
    <w:pPr>
      <w:tabs>
        <w:tab w:val="center" w:pos="4153"/>
        <w:tab w:val="right" w:pos="8306"/>
      </w:tabs>
      <w:snapToGrid w:val="0"/>
      <w:jc w:val="left"/>
    </w:pPr>
    <w:rPr>
      <w:sz w:val="18"/>
      <w:szCs w:val="18"/>
    </w:rPr>
  </w:style>
  <w:style w:type="character" w:styleId="8">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4</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2026-08-07T10:26:00Z</dcterms:created>
  <dc:creator>Administrator</dc:creator>
  <cp:lastModifiedBy>admin</cp:lastModifiedBy>
  <dcterms:modified xsi:type="dcterms:W3CDTF">2026-08-18T16:05:36Z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9792ECDD81C0459D5012846A7645D429_43</vt:lpwstr>
  </property>
</Properties>
</file>