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outlineLvl w:val="9"/>
        <w:rPr>
          <w:rFonts w:hint="eastAsia" w:ascii="仿宋_GB2312" w:hAnsi="仿宋_GB2312" w:eastAsia="仿宋_GB2312" w:cs="仿宋_GB2312"/>
          <w:color w:val="FF0000"/>
          <w:w w:val="53"/>
          <w:sz w:val="32"/>
          <w:szCs w:val="32"/>
          <w:highlight w:val="none"/>
        </w:rPr>
      </w:pPr>
    </w:p>
    <w:p>
      <w:pPr>
        <w:jc w:val="left"/>
        <w:outlineLvl w:val="9"/>
        <w:rPr>
          <w:rFonts w:hint="eastAsia" w:ascii="仿宋_GB2312" w:hAnsi="仿宋_GB2312" w:eastAsia="仿宋_GB2312" w:cs="仿宋_GB2312"/>
          <w:color w:val="FF0000"/>
          <w:w w:val="53"/>
          <w:sz w:val="32"/>
          <w:szCs w:val="32"/>
          <w:highlight w:val="none"/>
        </w:rPr>
      </w:pPr>
    </w:p>
    <w:p>
      <w:pPr>
        <w:jc w:val="left"/>
        <w:outlineLvl w:val="9"/>
        <w:rPr>
          <w:rFonts w:hint="eastAsia" w:ascii="仿宋_GB2312" w:hAnsi="仿宋_GB2312" w:eastAsia="仿宋_GB2312" w:cs="仿宋_GB2312"/>
          <w:color w:val="FF0000"/>
          <w:w w:val="53"/>
          <w:sz w:val="32"/>
          <w:szCs w:val="32"/>
          <w:highlight w:val="none"/>
        </w:rPr>
      </w:pPr>
    </w:p>
    <w:p>
      <w:pPr>
        <w:jc w:val="center"/>
        <w:outlineLvl w:val="9"/>
        <w:rPr>
          <w:rFonts w:ascii="方正小标宋简体" w:hAnsi="Times New Roman" w:eastAsia="方正小标宋简体"/>
          <w:color w:val="FF0000"/>
          <w:w w:val="53"/>
          <w:sz w:val="96"/>
          <w:szCs w:val="96"/>
          <w:highlight w:val="none"/>
        </w:rPr>
      </w:pPr>
      <w:r>
        <w:rPr>
          <w:rFonts w:hint="eastAsia" w:ascii="方正小标宋简体" w:hAnsi="Times New Roman" w:eastAsia="方正小标宋简体"/>
          <w:color w:val="FF0000"/>
          <w:w w:val="53"/>
          <w:sz w:val="96"/>
          <w:szCs w:val="96"/>
          <w:highlight w:val="none"/>
        </w:rPr>
        <w:t>中关村科技园区</w:t>
      </w:r>
      <w:r>
        <w:rPr>
          <w:rFonts w:ascii="方正小标宋简体" w:hAnsi="Times New Roman" w:eastAsia="方正小标宋简体"/>
          <w:color w:val="FF0000"/>
          <w:w w:val="53"/>
          <w:sz w:val="96"/>
          <w:szCs w:val="96"/>
          <w:highlight w:val="none"/>
        </w:rPr>
        <w:t>西城园</w:t>
      </w:r>
      <w:r>
        <w:rPr>
          <w:rFonts w:hint="eastAsia" w:ascii="方正小标宋简体" w:hAnsi="Times New Roman" w:eastAsia="方正小标宋简体"/>
          <w:color w:val="FF0000"/>
          <w:w w:val="53"/>
          <w:sz w:val="96"/>
          <w:szCs w:val="96"/>
          <w:highlight w:val="none"/>
        </w:rPr>
        <w:t>管理委员会文件</w:t>
      </w:r>
    </w:p>
    <w:p>
      <w:pPr>
        <w:spacing w:line="450" w:lineRule="exact"/>
        <w:rPr>
          <w:color w:val="FF0000"/>
          <w:szCs w:val="32"/>
          <w:highlight w:val="none"/>
        </w:rPr>
      </w:pPr>
    </w:p>
    <w:p>
      <w:pPr>
        <w:spacing w:line="450" w:lineRule="exact"/>
        <w:rPr>
          <w:color w:val="FF0000"/>
          <w:szCs w:val="32"/>
          <w:highlight w:val="none"/>
        </w:rPr>
      </w:pPr>
    </w:p>
    <w:p>
      <w:pPr>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西科管发〔20</w:t>
      </w:r>
      <w:r>
        <w:rPr>
          <w:rFonts w:hint="eastAsia" w:ascii="仿宋_GB2312" w:hAnsi="仿宋_GB2312" w:eastAsia="仿宋_GB2312" w:cs="仿宋_GB2312"/>
          <w:sz w:val="32"/>
          <w:szCs w:val="32"/>
          <w:highlight w:val="none"/>
          <w:lang w:val="en-US" w:eastAsia="zh-CN"/>
        </w:rPr>
        <w:t>2</w:t>
      </w:r>
      <w:r>
        <w:rPr>
          <w:rFonts w:hint="eastAsia" w:hAnsi="仿宋_GB2312" w:cs="仿宋_GB2312"/>
          <w:sz w:val="32"/>
          <w:szCs w:val="32"/>
          <w:highlight w:val="none"/>
          <w:lang w:val="en-US" w:eastAsia="zh-CN"/>
        </w:rPr>
        <w:t>6</w:t>
      </w:r>
      <w:r>
        <w:rPr>
          <w:rFonts w:hint="eastAsia" w:ascii="仿宋_GB2312" w:hAnsi="仿宋_GB2312" w:eastAsia="仿宋_GB2312" w:cs="仿宋_GB2312"/>
          <w:sz w:val="32"/>
          <w:szCs w:val="32"/>
          <w:highlight w:val="none"/>
        </w:rPr>
        <w:t>〕</w:t>
      </w:r>
      <w:r>
        <w:rPr>
          <w:rFonts w:hint="eastAsia" w:hAnsi="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号</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小标宋简体" w:eastAsia="方正小标宋简体"/>
          <w:w w:val="98"/>
          <w:sz w:val="21"/>
          <w:szCs w:val="21"/>
          <w:highlight w:val="none"/>
        </w:rPr>
      </w:pPr>
      <w:r>
        <w:rPr>
          <w:rFonts w:hint="eastAsia" w:ascii="仿宋_GB2312" w:hAnsi="仿宋_GB2312" w:eastAsia="仿宋_GB2312" w:cs="仿宋_GB2312"/>
          <w:sz w:val="32"/>
          <w:szCs w:val="32"/>
          <w:highlight w:val="none"/>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7620</wp:posOffset>
                </wp:positionV>
                <wp:extent cx="5615940" cy="0"/>
                <wp:effectExtent l="0" t="9525" r="7620" b="13335"/>
                <wp:wrapNone/>
                <wp:docPr id="16" name="直接连接符 16"/>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9050">
                          <a:solidFill>
                            <a:srgbClr val="FF0000"/>
                          </a:solidFill>
                          <a:round/>
                        </a:ln>
                        <a:effectLst/>
                      </wps:spPr>
                      <wps:bodyPr/>
                    </wps:wsp>
                  </a:graphicData>
                </a:graphic>
              </wp:anchor>
            </w:drawing>
          </mc:Choice>
          <mc:Fallback>
            <w:pict>
              <v:line id="_x0000_s1026" o:spid="_x0000_s1026" o:spt="20" style="position:absolute;left:0pt;margin-left:0.25pt;margin-top:0.6pt;height:0pt;width:442.2pt;z-index:251659264;mso-width-relative:page;mso-height-relative:page;" filled="f" stroked="t" coordsize="21600,21600" o:gfxdata="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&#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XUgyfTAAAABAEAAA8AAAAAAAAAAQAgAAAAIgAAAGRy&#10;cy9kb3ducmV2LnhtbFBLAQIUABQAAAAIAIdO4kAaBwdK0QEAAG0DAAAOAAAAAAAAAAEAIAAAACIB&#10;AABkcnMvZTJvRG9jLnhtbFBLBQYAAAAABgAGAFkBAABlBQAAAAA=&#10;">
                <v:fill on="f" focussize="0,0"/>
                <v:stroke weight="1.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ascii="方正小标宋简体" w:hAnsi="方正小标宋简体" w:eastAsia="方正小标宋简体" w:cs="方正小标宋简体"/>
          <w:spacing w:val="0"/>
          <w:w w:val="95"/>
          <w:sz w:val="44"/>
          <w:szCs w:val="44"/>
          <w:highlight w:val="none"/>
        </w:rPr>
      </w:pPr>
      <w:r>
        <w:rPr>
          <w:rFonts w:hint="eastAsia" w:ascii="Times New Roman" w:hAnsi="Times New Roman" w:eastAsia="方正小标宋简体"/>
          <w:w w:val="95"/>
          <w:sz w:val="44"/>
          <w:szCs w:val="44"/>
          <w:highlight w:val="none"/>
        </w:rPr>
        <w:t>中关村科技园区西城园管理委员会</w:t>
      </w:r>
      <w:r>
        <w:rPr>
          <w:rFonts w:hint="eastAsia" w:ascii="方正小标宋简体" w:hAnsi="方正小标宋简体" w:eastAsia="方正小标宋简体" w:cs="方正小标宋简体"/>
          <w:spacing w:val="0"/>
          <w:w w:val="95"/>
          <w:sz w:val="44"/>
          <w:szCs w:val="44"/>
          <w:highlight w:val="none"/>
        </w:rPr>
        <w:t>（北京市西城区科学技术委员会）关于印发《北京市西城区科技企业孵化器认定、评价及支持办法》的通知</w:t>
      </w:r>
    </w:p>
    <w:p>
      <w:pPr>
        <w:keepNext w:val="0"/>
        <w:keepLines w:val="0"/>
        <w:pageBreakBefore w:val="0"/>
        <w:widowControl w:val="0"/>
        <w:kinsoku/>
        <w:wordWrap/>
        <w:overflowPunct/>
        <w:topLinePunct w:val="0"/>
        <w:autoSpaceDE/>
        <w:autoSpaceDN/>
        <w:bidi w:val="0"/>
        <w:spacing w:line="520" w:lineRule="exact"/>
        <w:textAlignment w:val="auto"/>
        <w:rPr>
          <w:rFonts w:hint="eastAsia" w:eastAsia="仿宋_GB2312"/>
          <w:spacing w:val="0"/>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各</w:t>
      </w:r>
      <w:r>
        <w:rPr>
          <w:rFonts w:hint="eastAsia" w:hAnsi="仿宋_GB2312" w:cs="仿宋_GB2312"/>
          <w:color w:val="auto"/>
          <w:sz w:val="32"/>
          <w:szCs w:val="32"/>
          <w:lang w:val="en-US" w:eastAsia="zh-CN"/>
        </w:rPr>
        <w:t>有关企业</w:t>
      </w:r>
      <w:r>
        <w:rPr>
          <w:rFonts w:hint="eastAsia" w:ascii="仿宋_GB2312" w:hAnsi="仿宋_GB2312" w:eastAsia="仿宋_GB2312" w:cs="仿宋_GB2312"/>
          <w:color w:val="auto"/>
          <w:sz w:val="32"/>
          <w:szCs w:val="32"/>
          <w:lang w:eastAsia="zh-CN"/>
        </w:rPr>
        <w:t>单位: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color w:val="auto"/>
          <w:sz w:val="32"/>
          <w:szCs w:val="32"/>
          <w:lang w:eastAsia="zh-CN"/>
        </w:rPr>
        <w:t>经2026年第137次区政府专题会研究同意，现将《北京市西城区科技企业孵化器认定、评价及支持办法》印发，请认真贯彻落实。</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pacing w:val="0"/>
          <w:sz w:val="32"/>
          <w:szCs w:val="32"/>
          <w:highlight w:val="none"/>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pacing w:val="0"/>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中关村科技园区西城园管理委员会</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（北京市西城区科学技术委员会）</w:t>
      </w:r>
    </w:p>
    <w:p>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pacing w:val="0"/>
          <w:sz w:val="32"/>
          <w:szCs w:val="32"/>
          <w:highlight w:val="none"/>
        </w:rPr>
        <w:t>20</w:t>
      </w:r>
      <w:r>
        <w:rPr>
          <w:rFonts w:hint="eastAsia" w:ascii="仿宋_GB2312" w:hAnsi="仿宋_GB2312" w:eastAsia="仿宋_GB2312" w:cs="仿宋_GB2312"/>
          <w:spacing w:val="0"/>
          <w:sz w:val="32"/>
          <w:szCs w:val="32"/>
          <w:highlight w:val="none"/>
          <w:lang w:val="en-US" w:eastAsia="zh-CN"/>
        </w:rPr>
        <w:t>2</w:t>
      </w:r>
      <w:r>
        <w:rPr>
          <w:rFonts w:hint="eastAsia" w:hAnsi="仿宋_GB2312" w:cs="仿宋_GB2312"/>
          <w:spacing w:val="0"/>
          <w:sz w:val="32"/>
          <w:szCs w:val="32"/>
          <w:highlight w:val="none"/>
          <w:lang w:val="en-US" w:eastAsia="zh-CN"/>
        </w:rPr>
        <w:t>6</w:t>
      </w:r>
      <w:r>
        <w:rPr>
          <w:rFonts w:hint="eastAsia" w:ascii="仿宋_GB2312" w:hAnsi="仿宋_GB2312" w:eastAsia="仿宋_GB2312" w:cs="仿宋_GB2312"/>
          <w:spacing w:val="0"/>
          <w:sz w:val="32"/>
          <w:szCs w:val="32"/>
          <w:highlight w:val="none"/>
        </w:rPr>
        <w:t>年</w:t>
      </w:r>
      <w:r>
        <w:rPr>
          <w:rFonts w:hint="eastAsia" w:hAnsi="仿宋_GB2312" w:cs="仿宋_GB2312"/>
          <w:spacing w:val="0"/>
          <w:sz w:val="32"/>
          <w:szCs w:val="32"/>
          <w:highlight w:val="none"/>
          <w:lang w:val="en-US" w:eastAsia="zh-CN"/>
        </w:rPr>
        <w:t>8</w:t>
      </w:r>
      <w:r>
        <w:rPr>
          <w:rFonts w:hint="eastAsia" w:ascii="仿宋_GB2312" w:hAnsi="仿宋_GB2312" w:eastAsia="仿宋_GB2312" w:cs="仿宋_GB2312"/>
          <w:spacing w:val="0"/>
          <w:sz w:val="32"/>
          <w:szCs w:val="32"/>
          <w:highlight w:val="none"/>
        </w:rPr>
        <w:t>月</w:t>
      </w:r>
      <w:r>
        <w:rPr>
          <w:rFonts w:hint="eastAsia" w:hAnsi="仿宋_GB2312" w:cs="仿宋_GB2312"/>
          <w:sz w:val="32"/>
          <w:szCs w:val="32"/>
          <w:highlight w:val="none"/>
          <w:lang w:val="en-US" w:eastAsia="zh-CN"/>
        </w:rPr>
        <w:t>19</w:t>
      </w:r>
      <w:r>
        <w:rPr>
          <w:rFonts w:hint="eastAsia" w:ascii="仿宋_GB2312" w:hAnsi="仿宋_GB2312" w:eastAsia="仿宋_GB2312" w:cs="仿宋_GB2312"/>
          <w:spacing w:val="0"/>
          <w:sz w:val="32"/>
          <w:szCs w:val="32"/>
          <w:highlight w:val="none"/>
        </w:rPr>
        <w:t>日</w:t>
      </w:r>
      <w:r>
        <w:rPr>
          <w:rFonts w:hint="eastAsia" w:ascii="仿宋_GB2312" w:hAnsi="仿宋_GB2312" w:eastAsia="仿宋_GB2312" w:cs="仿宋_GB2312"/>
          <w:sz w:val="32"/>
          <w:szCs w:val="32"/>
          <w:highlight w:val="none"/>
          <w:lang w:eastAsia="zh-CN"/>
        </w:rPr>
        <w:t>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w w:val="100"/>
          <w:sz w:val="44"/>
          <w:szCs w:val="44"/>
          <w:highlight w:val="none"/>
          <w:lang w:eastAsia="zh-CN"/>
        </w:rPr>
      </w:pPr>
      <w:r>
        <w:rPr>
          <w:rFonts w:hint="eastAsia" w:ascii="方正小标宋简体" w:hAnsi="方正小标宋简体" w:eastAsia="方正小标宋简体" w:cs="方正小标宋简体"/>
          <w:color w:val="auto"/>
          <w:w w:val="100"/>
          <w:sz w:val="44"/>
          <w:szCs w:val="44"/>
          <w:highlight w:val="none"/>
          <w:lang w:eastAsia="zh-CN"/>
        </w:rPr>
        <w:t>北京市西城区科技企业孵化器</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rPr>
      </w:pPr>
      <w:r>
        <w:rPr>
          <w:rFonts w:hint="eastAsia" w:ascii="方正小标宋简体" w:hAnsi="方正小标宋简体" w:eastAsia="方正小标宋简体" w:cs="方正小标宋简体"/>
          <w:color w:val="auto"/>
          <w:w w:val="100"/>
          <w:sz w:val="44"/>
          <w:szCs w:val="44"/>
          <w:highlight w:val="none"/>
          <w:lang w:eastAsia="zh-CN"/>
        </w:rPr>
        <w:t>认定、评价及支持办法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u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u w:val="none"/>
        </w:rPr>
      </w:pPr>
      <w:r>
        <w:rPr>
          <w:rFonts w:hint="eastAsia" w:ascii="黑体" w:hAnsi="黑体" w:eastAsia="黑体" w:cs="黑体"/>
          <w:color w:val="auto"/>
          <w:sz w:val="32"/>
          <w:szCs w:val="32"/>
          <w:highlight w:val="none"/>
          <w:u w:val="none"/>
        </w:rPr>
        <w:t>第一章 总 则</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第一条</w:t>
      </w:r>
      <w:r>
        <w:rPr>
          <w:rFonts w:hint="eastAsia" w:ascii="仿宋_GB2312" w:hAnsi="仿宋_GB2312" w:eastAsia="仿宋_GB2312" w:cs="仿宋_GB2312"/>
          <w:b w:val="0"/>
          <w:bCs w:val="0"/>
          <w:color w:val="auto"/>
          <w:sz w:val="32"/>
          <w:szCs w:val="32"/>
          <w:highlight w:val="none"/>
          <w:u w:val="none"/>
        </w:rPr>
        <w:t xml:space="preserve"> 为推动北京市西城区科技创新和产业创新深度融合，促进科技企业孵化器高质量发展，强化高水平科技服务，提升孵化服务效能，助力传统产业升级、新兴产业壮大、未来产业培育，以科技创新引领新质生产力发展，根据《工业和信息化部科技型企业孵化器管理办法》（工信部科〔2025〕131号）、《北京市关于推动科技企业孵化器创新发展的指导意见》（京政办发〔2023〕26号）、《北京市科技型企业孵化器管理办法》（京科发）〔2025〕26号、《北京市西城区促进科技创新及中关村科技园区西城园高质量发展若干措施》（西行规发〔2025〕4 号），结合地区实际，制定本办法。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b/>
          <w:bCs/>
          <w:color w:val="auto"/>
          <w:sz w:val="32"/>
          <w:szCs w:val="32"/>
          <w:highlight w:val="none"/>
          <w:u w:val="none"/>
          <w:lang w:eastAsia="zh-CN"/>
        </w:rPr>
        <w:t>第二条</w:t>
      </w:r>
      <w:r>
        <w:rPr>
          <w:rFonts w:hint="eastAsia" w:ascii="仿宋_GB2312" w:hAnsi="仿宋_GB2312" w:eastAsia="仿宋_GB2312" w:cs="仿宋_GB2312"/>
          <w:color w:val="auto"/>
          <w:sz w:val="32"/>
          <w:szCs w:val="32"/>
          <w:highlight w:val="none"/>
          <w:u w:val="none"/>
          <w:lang w:eastAsia="zh-CN"/>
        </w:rPr>
        <w:t xml:space="preserve"> 本办法所称的区级科技企业孵化器，是指符合西城区功能定位和产业方向，以促进科技成果转化、产业化和孵化科技企业为宗旨，为科技企业和创业团队提供经营设施、创业辅导、技术支持、市场拓展、投资融资、管理咨询等专业服务的科技企业服务机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b/>
          <w:bCs/>
          <w:color w:val="auto"/>
          <w:sz w:val="32"/>
          <w:szCs w:val="32"/>
          <w:highlight w:val="none"/>
          <w:u w:val="none"/>
          <w:lang w:eastAsia="zh-CN"/>
        </w:rPr>
        <w:t>第三条</w:t>
      </w:r>
      <w:r>
        <w:rPr>
          <w:rFonts w:hint="eastAsia" w:ascii="仿宋_GB2312" w:hAnsi="仿宋_GB2312" w:eastAsia="仿宋_GB2312" w:cs="仿宋_GB2312"/>
          <w:color w:val="auto"/>
          <w:sz w:val="32"/>
          <w:szCs w:val="32"/>
          <w:highlight w:val="none"/>
          <w:u w:val="none"/>
          <w:lang w:eastAsia="zh-CN"/>
        </w:rPr>
        <w:t xml:space="preserve"> 区级科技企业孵化器的主要功能是围绕科技企业和创业团队成长需求，集聚各类要素资源，提供全周期、专业化孵化服务，营造创新创业生态，激发创新创业活力，降低创新创业风险，促进企业成长，推动科技创新和产业创新深度融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b/>
          <w:bCs/>
          <w:color w:val="auto"/>
          <w:sz w:val="32"/>
          <w:szCs w:val="32"/>
          <w:highlight w:val="none"/>
          <w:u w:val="none"/>
          <w:lang w:eastAsia="zh-CN"/>
        </w:rPr>
        <w:t>第四条</w:t>
      </w:r>
      <w:r>
        <w:rPr>
          <w:rFonts w:hint="eastAsia" w:ascii="仿宋_GB2312" w:hAnsi="仿宋_GB2312" w:eastAsia="仿宋_GB2312" w:cs="仿宋_GB2312"/>
          <w:color w:val="auto"/>
          <w:sz w:val="32"/>
          <w:szCs w:val="32"/>
          <w:highlight w:val="none"/>
          <w:u w:val="none"/>
          <w:lang w:eastAsia="zh-CN"/>
        </w:rPr>
        <w:t xml:space="preserve"> 区级科技企业孵化器的发展目标是落实创新驱动发展战略，健全服务体系，提高服务能力，构建孵化生态，形成主体多元、类型多样、业态丰富、优质高效的发展格局，持续孵化新企业、催生新产业、形成新业态，培育经济发展新动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b/>
          <w:bCs/>
          <w:color w:val="auto"/>
          <w:sz w:val="32"/>
          <w:szCs w:val="32"/>
          <w:highlight w:val="none"/>
          <w:u w:val="none"/>
          <w:lang w:eastAsia="zh-CN"/>
        </w:rPr>
        <w:t>第五条</w:t>
      </w:r>
      <w:r>
        <w:rPr>
          <w:rFonts w:hint="eastAsia" w:ascii="仿宋_GB2312" w:hAnsi="仿宋_GB2312" w:eastAsia="仿宋_GB2312" w:cs="仿宋_GB2312"/>
          <w:color w:val="auto"/>
          <w:sz w:val="32"/>
          <w:szCs w:val="32"/>
          <w:highlight w:val="none"/>
          <w:u w:val="none"/>
          <w:lang w:eastAsia="zh-CN"/>
        </w:rPr>
        <w:t xml:space="preserve"> 区级科技企业孵化器的申报认定工作遵循自愿参与、公开透明、客观公正、严格标准、动态调整的原则。西城园管委会（区科委）组织认定科技企业孵化器，并对其进行指导、服务、评价，组织落实本办法的政策兑现支持。</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u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u w:val="none"/>
          <w:lang w:eastAsia="zh-CN"/>
        </w:rPr>
      </w:pPr>
      <w:r>
        <w:rPr>
          <w:rFonts w:hint="eastAsia" w:ascii="黑体" w:hAnsi="黑体" w:eastAsia="黑体" w:cs="黑体"/>
          <w:color w:val="auto"/>
          <w:sz w:val="32"/>
          <w:szCs w:val="32"/>
          <w:highlight w:val="none"/>
          <w:u w:val="none"/>
          <w:lang w:eastAsia="zh-CN"/>
        </w:rPr>
        <w:t>第二章 认定条件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b/>
          <w:bCs/>
          <w:color w:val="auto"/>
          <w:sz w:val="32"/>
          <w:szCs w:val="32"/>
          <w:highlight w:val="none"/>
          <w:u w:val="none"/>
          <w:lang w:eastAsia="zh-CN"/>
        </w:rPr>
        <w:t>第六条</w:t>
      </w:r>
      <w:r>
        <w:rPr>
          <w:rFonts w:hint="eastAsia" w:ascii="仿宋_GB2312" w:hAnsi="仿宋_GB2312" w:eastAsia="仿宋_GB2312" w:cs="仿宋_GB2312"/>
          <w:color w:val="auto"/>
          <w:sz w:val="32"/>
          <w:szCs w:val="32"/>
          <w:highlight w:val="none"/>
          <w:u w:val="none"/>
          <w:lang w:eastAsia="zh-CN"/>
        </w:rPr>
        <w:t xml:space="preserve"> 申请区级科技企业孵化器应具备以下条件：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（一）孵化器运营单位应为在西城区规范经营并具备独立法人资格的企业单位。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（二）具有稳定清晰的孵化场地，可自主支配（自有、租赁或协议使用）的孵化场地面积不低于1000平方米。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（三）在西城区规范经营的在孵科技企业数量不少于10家且占比不低于60%；科技和创新型中小企业占比不低于20%；国家高新技术企业占比不低于15%。</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（四）上年度新增在西城区规范经营的在孵科技企业数量占比不低于3%或不少于10家。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（五）配备专业化运营团队，鼓励聘用全职或专职的技术经理人和承担推动科技成果转化工作的项目经理。拥有专业孵化服务人员不少于5人，签约创业导师不少于3人，每年组织导师服务应不少于10人次。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（六）协助企业对接股权投资、债券投资、获得银行等金融机构融资服务或授信支持不少于5家。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（七）能够为在孵企业提供以下专业服务：</w:t>
      </w:r>
    </w:p>
    <w:p>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b/>
          <w:bCs/>
          <w:color w:val="auto"/>
          <w:kern w:val="2"/>
          <w:sz w:val="32"/>
          <w:szCs w:val="32"/>
          <w:highlight w:val="none"/>
          <w:u w:val="none"/>
          <w:lang w:val="en-US" w:eastAsia="zh-CN" w:bidi="ar-SA"/>
        </w:rPr>
        <w:t>·资源对接服务：</w:t>
      </w:r>
      <w:r>
        <w:rPr>
          <w:rFonts w:hint="eastAsia" w:ascii="仿宋_GB2312" w:hAnsi="仿宋_GB2312" w:eastAsia="仿宋_GB2312" w:cs="仿宋_GB2312"/>
          <w:color w:val="auto"/>
          <w:kern w:val="2"/>
          <w:sz w:val="32"/>
          <w:szCs w:val="32"/>
          <w:highlight w:val="none"/>
          <w:u w:val="none"/>
          <w:lang w:val="en-US" w:eastAsia="zh-CN" w:bidi="ar-SA"/>
        </w:rPr>
        <w:t>广泛链接创新资源，为在孵企业提供产品设计、品牌策划、市场营销以及创业培训、融资对接、知识产权、技术转移、财务、法律、商务等服务，与不低于10家专业服务机构建立合作关系，每年开展各项专业孵化服务次数不少于20场次。</w:t>
      </w:r>
    </w:p>
    <w:p>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b/>
          <w:bCs/>
          <w:color w:val="auto"/>
          <w:kern w:val="2"/>
          <w:sz w:val="32"/>
          <w:szCs w:val="32"/>
          <w:highlight w:val="none"/>
          <w:u w:val="none"/>
          <w:lang w:val="en-US" w:eastAsia="zh-CN" w:bidi="ar-SA"/>
        </w:rPr>
        <w:t>·专业平台服务：</w:t>
      </w:r>
      <w:r>
        <w:rPr>
          <w:rFonts w:hint="eastAsia" w:ascii="仿宋_GB2312" w:hAnsi="仿宋_GB2312" w:eastAsia="仿宋_GB2312" w:cs="仿宋_GB2312"/>
          <w:color w:val="auto"/>
          <w:kern w:val="2"/>
          <w:sz w:val="32"/>
          <w:szCs w:val="32"/>
          <w:highlight w:val="none"/>
          <w:u w:val="none"/>
          <w:lang w:val="en-US" w:eastAsia="zh-CN" w:bidi="ar-SA"/>
        </w:rPr>
        <w:t>通过自建、共建、合作等方式，建设专业技术领域内开放式的公共服务平台，包括但不限于公共技术服务平台、中试基地等，为在孵企业提供研发、设计、检验、测试等服务。</w:t>
      </w:r>
    </w:p>
    <w:p>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b/>
          <w:bCs/>
          <w:color w:val="auto"/>
          <w:kern w:val="2"/>
          <w:sz w:val="32"/>
          <w:szCs w:val="32"/>
          <w:highlight w:val="none"/>
          <w:u w:val="none"/>
          <w:lang w:val="en-US" w:eastAsia="zh-CN" w:bidi="ar-SA"/>
        </w:rPr>
        <w:t>·概念验证服务：</w:t>
      </w:r>
      <w:r>
        <w:rPr>
          <w:rFonts w:hint="eastAsia" w:ascii="仿宋_GB2312" w:hAnsi="仿宋_GB2312" w:eastAsia="仿宋_GB2312" w:cs="仿宋_GB2312"/>
          <w:color w:val="auto"/>
          <w:kern w:val="2"/>
          <w:sz w:val="32"/>
          <w:szCs w:val="32"/>
          <w:highlight w:val="none"/>
          <w:u w:val="none"/>
          <w:lang w:val="en-US" w:eastAsia="zh-CN" w:bidi="ar-SA"/>
        </w:rPr>
        <w:t>联合知名高校、科研院所研发团队，依托概念甄别、价值发现等方式，为拥有市场前景的创新型技术提供种子资金、商业顾问、创业辅导、技术平台等资源，助推科技成果实现商业化的服务。</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上年度为在孵企业提供上述专业服务取得的收入（简称专业服务收入）占总收入比例应不低于20%，或近2年专业服务收入平均增速不低于3%。</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u w:val="none"/>
          <w:lang w:eastAsia="zh-CN"/>
        </w:rPr>
      </w:pPr>
      <w:r>
        <w:rPr>
          <w:rFonts w:hint="eastAsia" w:ascii="黑体" w:hAnsi="黑体" w:eastAsia="黑体" w:cs="黑体"/>
          <w:color w:val="auto"/>
          <w:sz w:val="32"/>
          <w:szCs w:val="32"/>
          <w:highlight w:val="none"/>
          <w:u w:val="none"/>
          <w:lang w:eastAsia="zh-CN"/>
        </w:rPr>
        <w:t>第三章 认定与复核</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b/>
          <w:bCs/>
          <w:color w:val="auto"/>
          <w:sz w:val="32"/>
          <w:szCs w:val="32"/>
          <w:highlight w:val="none"/>
          <w:u w:val="none"/>
          <w:lang w:eastAsia="zh-CN"/>
        </w:rPr>
        <w:t>第七条</w:t>
      </w:r>
      <w:r>
        <w:rPr>
          <w:rFonts w:hint="eastAsia" w:hAnsi="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eastAsia="zh-CN"/>
        </w:rPr>
        <w:t>区级科技企业孵化器运营主体向西城园管委会（区科委）提出申请，按要求提交申报书及相关材料，并对材料的真实性、完整性负责。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b/>
          <w:bCs/>
          <w:color w:val="auto"/>
          <w:sz w:val="32"/>
          <w:szCs w:val="32"/>
          <w:highlight w:val="none"/>
          <w:u w:val="none"/>
          <w:lang w:eastAsia="zh-CN"/>
        </w:rPr>
        <w:t>第八条</w:t>
      </w:r>
      <w:r>
        <w:rPr>
          <w:rFonts w:hint="eastAsia" w:hAnsi="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eastAsia="zh-CN"/>
        </w:rPr>
        <w:t>西城园管委会（区科委）组织开展对区级科技企业孵化器申请材料的初审、实地抽查、征求相关部门意见、专家评审和公示。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b/>
          <w:bCs/>
          <w:color w:val="auto"/>
          <w:sz w:val="32"/>
          <w:szCs w:val="32"/>
          <w:highlight w:val="none"/>
          <w:u w:val="none"/>
          <w:lang w:eastAsia="zh-CN"/>
        </w:rPr>
        <w:t>第九条</w:t>
      </w:r>
      <w:r>
        <w:rPr>
          <w:rFonts w:hint="eastAsia" w:hAnsi="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eastAsia="zh-CN"/>
        </w:rPr>
        <w:t>西城园管委会（区科委）原则上每年组织一次区级科技企业孵化器认定申报工作，当年通过认定的区级科技企业孵化器，予以30万元运营资金支持。</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eastAsia="zh-CN"/>
        </w:rPr>
        <w:t>第十条</w:t>
      </w:r>
      <w:r>
        <w:rPr>
          <w:rFonts w:hint="eastAsia" w:ascii="仿宋_GB2312" w:hAnsi="仿宋_GB2312" w:eastAsia="仿宋_GB2312" w:cs="仿宋_GB2312"/>
          <w:color w:val="auto"/>
          <w:sz w:val="32"/>
          <w:szCs w:val="32"/>
          <w:highlight w:val="none"/>
          <w:u w:val="none"/>
          <w:lang w:eastAsia="zh-CN"/>
        </w:rPr>
        <w:t xml:space="preserve"> 西城园管委会（区科委）每年对已认定的区级科技企业孵化器进行复核，未通过复核的不予支持。</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第四章 评价与支持</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第十一条</w:t>
      </w:r>
      <w:r>
        <w:rPr>
          <w:rFonts w:hint="eastAsia" w:ascii="仿宋_GB2312" w:hAnsi="仿宋_GB2312" w:eastAsia="仿宋_GB2312" w:cs="仿宋_GB2312"/>
          <w:color w:val="auto"/>
          <w:sz w:val="32"/>
          <w:szCs w:val="32"/>
          <w:highlight w:val="none"/>
          <w:u w:val="none"/>
          <w:lang w:val="en-US" w:eastAsia="zh-CN"/>
        </w:rPr>
        <w:t xml:space="preserve"> 西城园管委会（区科委）每年组织对区级科技企业孵化器进行动态评价，主要围绕服务能力、孵化绩效、可持续发展水平等方面，全面反映企业集聚、企业高质量发展、平台建设、金融赋能和专业服务成效等情况。评价分为优秀、合格、不合格三个档次。优秀档次最高支持不超过200万元、合格档次最高支持不超过100万元。同时按本办法第十二条至第十四条进行增值孵化服务支持，单个孵化器年度最高累计支持金额不超过1000万元。连续两年评价结果为不合格的孵化器取消资格。</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第十二条</w:t>
      </w:r>
      <w:r>
        <w:rPr>
          <w:rFonts w:hint="eastAsia" w:ascii="仿宋_GB2312" w:hAnsi="仿宋_GB2312" w:eastAsia="仿宋_GB2312" w:cs="仿宋_GB2312"/>
          <w:color w:val="auto"/>
          <w:sz w:val="32"/>
          <w:szCs w:val="32"/>
          <w:highlight w:val="none"/>
          <w:u w:val="none"/>
          <w:lang w:val="en-US" w:eastAsia="zh-CN"/>
        </w:rPr>
        <w:t xml:space="preserve"> 支持科技企业孵化器对标国家部委、市级科技企业孵化器标准，开展孵化服务能力提升建设。对符合区域产业发展导向、服务体系健全、运营管理规范、企业培育成效明显、示范带动作用突出的孵化器给予支持。</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对标国家部委卓越级孵化器标准开展建设的，自孵化器首次通过国家部委相关认定年度开始，政策有效期内可分年度给予支持，每年最高不超过300万元。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对标北京市标杆孵化器标准开展建设的，自孵化器首次通过北京市相关认定年度开始，政策有效期内可分年度给予支持，每年最高不超过300万元。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对围绕国家部委标准级孵化器要求开展建设的，自孵化器首次通过国家部委相关认定年度开始给予支持，最高不超过100万元。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对标市级科技部门认定的科技企业孵化器相关标准开展建设的，自孵化器首次通过北京市相关认定年度开始给予支持，最高不超过50万元。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同一孵化器同一年度符合本条多项支持条件的，按照“就高不重复”原则予以支持。</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第十三条</w:t>
      </w:r>
      <w:r>
        <w:rPr>
          <w:rFonts w:hint="eastAsia" w:ascii="仿宋_GB2312" w:hAnsi="仿宋_GB2312" w:eastAsia="仿宋_GB2312" w:cs="仿宋_GB2312"/>
          <w:color w:val="auto"/>
          <w:sz w:val="32"/>
          <w:szCs w:val="32"/>
          <w:highlight w:val="none"/>
          <w:u w:val="none"/>
          <w:lang w:val="en-US" w:eastAsia="zh-CN"/>
        </w:rPr>
        <w:t xml:space="preserve"> 鼓励孵化器积极营造创新创业生态氛围</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（一）鼓励孵化器深度参与“中关村论坛”“HICOOL全球创业者峰会”“中国创新创业大赛”“中关村国际前沿科技创新大赛”“创业北京”“创客北京”“中关村U30”等创新创业品牌活动；</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（二）鼓励孵化器参与承办全国科技活动周、全国科技工作者日、全国科普月等区级以上科普活动。</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对承担活动组织策划、会务服务保障、参赛项目征集与遴选、创新创业项目展示对接、创业团队组织服务、招商引资及产业对接、宣传推广、成果转化服务等相关工作的孵化器，按活动规模给予支持。单个孵化器年度支持总额不超过30万元。</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第十四条</w:t>
      </w:r>
      <w:r>
        <w:rPr>
          <w:rFonts w:hint="eastAsia" w:ascii="仿宋_GB2312" w:hAnsi="仿宋_GB2312" w:eastAsia="仿宋_GB2312" w:cs="仿宋_GB2312"/>
          <w:color w:val="auto"/>
          <w:sz w:val="32"/>
          <w:szCs w:val="32"/>
          <w:highlight w:val="none"/>
          <w:u w:val="none"/>
          <w:lang w:val="en-US" w:eastAsia="zh-CN"/>
        </w:rPr>
        <w:t xml:space="preserve"> 支持孵化器健全完善在孵企业孵化培育机制，加大对于区内规范经营的初创企业服务力度，助力企业快速成长为国家高新技术企业、专精特新企业、独角兽企业等，支撑产业高质量发展。</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（一）每新培育一家独角兽企业、上市企业等高精尖头部企业，奖励孵化器30万元；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（二）每新培育一家潜在独角兽企业，奖励孵化器20万元；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（三）每新培育一家“隐形冠军”“单项冠军”或国家专精特新“小巨人”企业，奖励孵化器15万元；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（四）每新培育一家科技服务业或信息传输、软件和信息技术服务业企业毕业，奖励孵化器5万元；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（五）每新培育一家国家高新技术企业或北京市专精特新中小企业，奖励孵化器1万元。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val="en-US" w:eastAsia="zh-CN"/>
        </w:rPr>
        <w:t>如单家企业同时获得多项资质，按最高标准给予孵化器支持。</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第五章 变更与撤销</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第十五条</w:t>
      </w:r>
      <w:r>
        <w:rPr>
          <w:rFonts w:hint="eastAsia" w:ascii="仿宋_GB2312" w:hAnsi="仿宋_GB2312" w:eastAsia="仿宋_GB2312" w:cs="仿宋_GB2312"/>
          <w:color w:val="auto"/>
          <w:sz w:val="32"/>
          <w:szCs w:val="32"/>
          <w:highlight w:val="none"/>
          <w:u w:val="none"/>
          <w:lang w:val="en-US" w:eastAsia="zh-CN"/>
        </w:rPr>
        <w:t xml:space="preserve"> 孵化器运营主体发生变更、重组、依法终止等情况，以及运营条件发生重大变化的，应在3个月内向西城园管委会（区科委）备案，西城园管委会（区科委）组织进行综合评估，对符合条件的予以变更。</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第十六条</w:t>
      </w:r>
      <w:r>
        <w:rPr>
          <w:rFonts w:hint="eastAsia" w:ascii="仿宋_GB2312" w:hAnsi="仿宋_GB2312" w:eastAsia="仿宋_GB2312" w:cs="仿宋_GB2312"/>
          <w:color w:val="auto"/>
          <w:sz w:val="32"/>
          <w:szCs w:val="32"/>
          <w:highlight w:val="none"/>
          <w:u w:val="none"/>
          <w:lang w:val="en-US" w:eastAsia="zh-CN"/>
        </w:rPr>
        <w:t xml:space="preserve"> 对连续两年评价等级为不合格的孵化器，以及孵化器自行要求撤销认定的，经过15日陈述期后，予以撤销。</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第十七条</w:t>
      </w:r>
      <w:r>
        <w:rPr>
          <w:rFonts w:hint="eastAsia" w:ascii="仿宋_GB2312" w:hAnsi="仿宋_GB2312" w:eastAsia="仿宋_GB2312" w:cs="仿宋_GB2312"/>
          <w:color w:val="auto"/>
          <w:sz w:val="32"/>
          <w:szCs w:val="32"/>
          <w:highlight w:val="none"/>
          <w:u w:val="none"/>
          <w:lang w:val="en-US" w:eastAsia="zh-CN"/>
        </w:rPr>
        <w:t xml:space="preserve"> 对孵化器运营主体在申请认定和接受管理过程中存在弄虚作假、严重失信、偷税漏税等违法违规行为的，以及发生重大环保、质量和安全事故的，核实后予以撤销。此类被撤销的孵化器运营主体3年内不得再次申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第六章 附则</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eastAsia="zh-CN"/>
        </w:rPr>
        <w:t>第十八条</w:t>
      </w:r>
      <w:r>
        <w:rPr>
          <w:rFonts w:hint="eastAsia" w:ascii="仿宋_GB2312" w:hAnsi="仿宋_GB2312" w:eastAsia="仿宋_GB2312" w:cs="仿宋_GB2312"/>
          <w:color w:val="auto"/>
          <w:sz w:val="32"/>
          <w:szCs w:val="32"/>
          <w:highlight w:val="none"/>
          <w:u w:val="none"/>
          <w:lang w:eastAsia="zh-CN"/>
        </w:rPr>
        <w:t xml:space="preserve"> 本办法自2026年8月1</w:t>
      </w:r>
      <w:r>
        <w:rPr>
          <w:rFonts w:hint="eastAsia" w:hAnsi="仿宋_GB2312" w:cs="仿宋_GB2312"/>
          <w:color w:val="auto"/>
          <w:sz w:val="32"/>
          <w:szCs w:val="32"/>
          <w:highlight w:val="none"/>
          <w:u w:val="none"/>
          <w:lang w:val="en-US" w:eastAsia="zh-CN"/>
        </w:rPr>
        <w:t>9</w:t>
      </w:r>
      <w:r>
        <w:rPr>
          <w:rFonts w:hint="eastAsia" w:ascii="仿宋_GB2312" w:hAnsi="仿宋_GB2312" w:eastAsia="仿宋_GB2312" w:cs="仿宋_GB2312"/>
          <w:color w:val="auto"/>
          <w:sz w:val="32"/>
          <w:szCs w:val="32"/>
          <w:highlight w:val="none"/>
          <w:u w:val="none"/>
          <w:lang w:eastAsia="zh-CN"/>
        </w:rPr>
        <w:t>日起实施。原《中关村科技园区西城园科技企业孵化机构认定和考核办法》（西科管发〔2021〕10号）同时废止。制定本办法所依托政策如发生变化，相关要求依据最新政策执行。</w:t>
      </w:r>
    </w:p>
    <w:p>
      <w:pPr>
        <w:pStyle w:val="7"/>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楷体_GB2312" w:hAnsi="楷体_GB2312" w:eastAsia="楷体_GB2312" w:cs="楷体_GB2312"/>
          <w:color w:val="auto"/>
          <w:sz w:val="32"/>
          <w:szCs w:val="32"/>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楷体_GB2312" w:hAnsi="楷体_GB2312" w:eastAsia="楷体_GB2312" w:cs="楷体_GB2312"/>
          <w:color w:val="auto"/>
          <w:sz w:val="32"/>
          <w:szCs w:val="32"/>
          <w:highlight w:val="none"/>
          <w:shd w:val="clear" w:color="auto" w:fill="auto"/>
        </w:rPr>
      </w:pPr>
    </w:p>
    <w:p>
      <w:pPr>
        <w:pStyle w:val="2"/>
        <w:rPr>
          <w:rFonts w:hint="eastAsia"/>
        </w:rPr>
      </w:pPr>
    </w:p>
    <w:p>
      <w:pPr>
        <w:pStyle w:val="7"/>
        <w:keepNext w:val="0"/>
        <w:keepLines w:val="0"/>
        <w:pageBreakBefore w:val="0"/>
        <w:kinsoku/>
        <w:overflowPunct/>
        <w:topLinePunct w:val="0"/>
        <w:autoSpaceDE/>
        <w:autoSpaceDN/>
        <w:bidi w:val="0"/>
        <w:adjustRightInd/>
        <w:snapToGrid/>
        <w:spacing w:line="560" w:lineRule="exact"/>
        <w:textAlignment w:val="auto"/>
        <w:rPr>
          <w:rFonts w:hint="eastAsia" w:ascii="楷体_GB2312" w:hAnsi="楷体_GB2312" w:eastAsia="楷体_GB2312" w:cs="楷体_GB2312"/>
          <w:color w:val="auto"/>
          <w:sz w:val="32"/>
          <w:szCs w:val="32"/>
          <w:highlight w:val="none"/>
          <w:shd w:val="clear" w:color="auto" w:fill="auto"/>
        </w:rPr>
      </w:pPr>
      <w:bookmarkStart w:id="0" w:name="_GoBack"/>
      <w:bookmarkEnd w:id="0"/>
    </w:p>
    <w:p>
      <w:pPr>
        <w:pStyle w:val="8"/>
        <w:keepNext w:val="0"/>
        <w:keepLines w:val="0"/>
        <w:pageBreakBefore w:val="0"/>
        <w:kinsoku/>
        <w:overflowPunct/>
        <w:topLinePunct w:val="0"/>
        <w:autoSpaceDE/>
        <w:autoSpaceDN/>
        <w:bidi w:val="0"/>
        <w:adjustRightInd/>
        <w:snapToGrid/>
        <w:spacing w:after="0" w:line="560" w:lineRule="exact"/>
        <w:textAlignment w:val="auto"/>
        <w:rPr>
          <w:rFonts w:hint="eastAsia" w:ascii="楷体_GB2312" w:hAnsi="楷体_GB2312" w:eastAsia="楷体_GB2312" w:cs="楷体_GB2312"/>
          <w:color w:val="auto"/>
          <w:sz w:val="32"/>
          <w:szCs w:val="32"/>
          <w:highlight w:val="none"/>
          <w:shd w:val="clear" w:color="auto" w:fill="auto"/>
        </w:rPr>
      </w:pPr>
    </w:p>
    <w:p>
      <w:pPr>
        <w:pStyle w:val="2"/>
        <w:keepNext w:val="0"/>
        <w:keepLines w:val="0"/>
        <w:pageBreakBefore w:val="0"/>
        <w:kinsoku/>
        <w:overflowPunct/>
        <w:topLinePunct w:val="0"/>
        <w:autoSpaceDE/>
        <w:autoSpaceDN/>
        <w:bidi w:val="0"/>
        <w:adjustRightInd/>
        <w:snapToGrid/>
        <w:spacing w:line="560" w:lineRule="exact"/>
        <w:textAlignment w:val="auto"/>
        <w:rPr>
          <w:rFonts w:hint="eastAsia"/>
        </w:rPr>
      </w:pPr>
    </w:p>
    <w:p>
      <w:pPr>
        <w:keepNext w:val="0"/>
        <w:keepLines w:val="0"/>
        <w:pageBreakBefore w:val="0"/>
        <w:widowControl w:val="0"/>
        <w:tabs>
          <w:tab w:val="left" w:pos="8820"/>
        </w:tabs>
        <w:kinsoku/>
        <w:wordWrap/>
        <w:overflowPunct/>
        <w:topLinePunct w:val="0"/>
        <w:autoSpaceDE/>
        <w:autoSpaceDN/>
        <w:bidi w:val="0"/>
        <w:adjustRightInd/>
        <w:snapToGrid w:val="0"/>
        <w:spacing w:after="89" w:afterLines="20" w:line="510" w:lineRule="exact"/>
        <w:ind w:right="0" w:rightChars="0"/>
        <w:jc w:val="both"/>
        <w:textAlignment w:val="auto"/>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32"/>
          <w:szCs w:val="32"/>
          <w:lang w:eastAsia="zh-CN"/>
        </w:rPr>
        <w:t>　</w:t>
      </w:r>
      <w:r>
        <w:rPr>
          <w:rFonts w:hint="eastAsia" w:ascii="仿宋" w:hAnsi="仿宋" w:eastAsia="仿宋" w:cs="仿宋"/>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-8890</wp:posOffset>
                </wp:positionH>
                <wp:positionV relativeFrom="paragraph">
                  <wp:posOffset>6350</wp:posOffset>
                </wp:positionV>
                <wp:extent cx="5615940" cy="0"/>
                <wp:effectExtent l="0" t="0" r="0" b="0"/>
                <wp:wrapNone/>
                <wp:docPr id="17" name="直接连接符 17"/>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7pt;margin-top:0.5pt;height:0pt;width:442.2pt;z-index:251660288;mso-width-relative:page;mso-height-relative:page;" filled="f" stroked="t" coordsize="21600,21600" o:gfxdata="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CQ3JXUAAAABgEAAA8AAAAA&#10;AAAAAQAgAAAAIgAAAGRycy9kb3ducmV2LnhtbFBLAQIUABQAAAAIAIdO4kDRbLLJ3wEAAKcDAAAO&#10;AAAAAAAAAAEAIAAAACMBAABkcnMvZTJvRG9jLnhtbFBLBQYAAAAABgAGAFkBAAB0BQAAAAA=&#10;">
                <v:fill on="f" focussize="0,0"/>
                <v:stroke weight="1pt" color="#000000" joinstyle="round"/>
                <v:imagedata o:title=""/>
                <o:lock v:ext="edit" aspectratio="f"/>
              </v:line>
            </w:pict>
          </mc:Fallback>
        </mc:AlternateContent>
      </w:r>
      <w:r>
        <w:rPr>
          <w:rFonts w:hint="eastAsia" w:ascii="仿宋" w:hAnsi="仿宋" w:eastAsia="仿宋" w:cs="仿宋"/>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361950</wp:posOffset>
                </wp:positionV>
                <wp:extent cx="5615940" cy="0"/>
                <wp:effectExtent l="0" t="0" r="0" b="0"/>
                <wp:wrapNone/>
                <wp:docPr id="22" name="直接连接符 22"/>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8.5pt;height:0pt;width:442.2pt;z-index:251660288;mso-width-relative:page;mso-height-relative:page;" filled="f" stroked="t" coordsize="21600,21600" o:gfxdata="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tok8LWAAAABgEAAA8A&#10;AAAAAAAAAQAgAAAAIgAAAGRycy9kb3ducmV2LnhtbFBLAQIUABQAAAAIAIdO4kBXM2oc4AEAAKcD&#10;AAAOAAAAAAAAAAEAIAAAACUBAABkcnMvZTJvRG9jLnhtbFBLBQYAAAAABgAGAFkBAAB3BQAAAAA=&#10;">
                <v:fill on="f" focussize="0,0"/>
                <v:stroke weight="1pt" color="#000000" joinstyle="round"/>
                <v:imagedata o:title=""/>
                <o:lock v:ext="edit" aspectratio="f"/>
              </v:line>
            </w:pict>
          </mc:Fallback>
        </mc:AlternateContent>
      </w:r>
      <w:r>
        <w:rPr>
          <w:rFonts w:hint="eastAsia" w:ascii="仿宋" w:hAnsi="仿宋" w:eastAsia="仿宋" w:cs="仿宋"/>
          <w:sz w:val="28"/>
          <w:szCs w:val="28"/>
          <w:highlight w:val="none"/>
        </w:rPr>
        <w:t xml:space="preserve">中关村科技园区西城园管理委员会办公室 </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20</w:t>
      </w:r>
      <w:r>
        <w:rPr>
          <w:rFonts w:hint="eastAsia" w:ascii="仿宋" w:hAnsi="仿宋" w:eastAsia="仿宋" w:cs="仿宋"/>
          <w:sz w:val="28"/>
          <w:szCs w:val="28"/>
          <w:highlight w:val="none"/>
          <w:lang w:val="en-US" w:eastAsia="zh-CN"/>
        </w:rPr>
        <w:t>26</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8</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19</w:t>
      </w:r>
      <w:r>
        <w:rPr>
          <w:rFonts w:hint="eastAsia" w:ascii="仿宋" w:hAnsi="仿宋" w:eastAsia="仿宋" w:cs="仿宋"/>
          <w:sz w:val="28"/>
          <w:szCs w:val="28"/>
          <w:highlight w:val="none"/>
        </w:rPr>
        <w:t>日印发</w:t>
      </w:r>
      <w:r>
        <w:rPr>
          <w:rFonts w:hint="eastAsia" w:asciiTheme="minorEastAsia" w:hAnsiTheme="minorEastAsia" w:eastAsiaTheme="minorEastAsia" w:cstheme="minorEastAsia"/>
          <w:sz w:val="28"/>
          <w:szCs w:val="28"/>
          <w:highlight w:val="none"/>
          <w:lang w:eastAsia="zh-CN"/>
        </w:rPr>
        <w:t>　</w:t>
      </w:r>
    </w:p>
    <w:sectPr>
      <w:headerReference r:id="rId3" w:type="default"/>
      <w:footerReference r:id="rId5" w:type="default"/>
      <w:headerReference r:id="rId4" w:type="even"/>
      <w:footerReference r:id="rId6" w:type="even"/>
      <w:pgSz w:w="11906" w:h="16838"/>
      <w:pgMar w:top="2098" w:right="1474" w:bottom="1984" w:left="1587" w:header="851" w:footer="141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FangSong_GB2312">
    <w:altName w:val="仿宋_GB2312"/>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KaiTi_GB2312">
    <w:altName w:val="楷体"/>
    <w:panose1 w:val="00000000000000000000"/>
    <w:charset w:val="00"/>
    <w:family w:val="swiss"/>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92837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92837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 xml:space="preserve">— </w:t>
                          </w: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PAGE  \* MERGEFORMAT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17</w:t>
                          </w:r>
                          <w:r>
                            <w:rPr>
                              <w:rFonts w:hint="eastAsia" w:asciiTheme="minorEastAsia" w:hAnsiTheme="minorEastAsia" w:eastAsiaTheme="minorEastAsia" w:cstheme="minorEastAsia"/>
                              <w:b/>
                              <w:bCs/>
                              <w:sz w:val="28"/>
                              <w:szCs w:val="28"/>
                              <w:lang w:val="en-US" w:eastAsia="zh-CN"/>
                            </w:rPr>
                            <w:fldChar w:fldCharType="end"/>
                          </w:r>
                          <w:r>
                            <w:rPr>
                              <w:rFonts w:hint="eastAsia" w:asciiTheme="minorEastAsia" w:hAnsiTheme="minorEastAsia" w:eastAsiaTheme="minorEastAsia" w:cstheme="minorEastAsia"/>
                              <w:b/>
                              <w:bCs/>
                              <w:sz w:val="28"/>
                              <w:szCs w:val="28"/>
                              <w:lang w:val="en-US" w:eastAsia="zh-CN"/>
                            </w:rPr>
                            <w:t xml:space="preserve"> —</w:t>
                          </w:r>
                          <w:r>
                            <w:rPr>
                              <w:rFonts w:hint="eastAsia" w:ascii="仿宋" w:hAnsi="仿宋" w:eastAsia="仿宋" w:cs="仿宋_GB2312"/>
                              <w:sz w:val="32"/>
                              <w:szCs w:val="32"/>
                            </w:rPr>
                            <w:t>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73.1pt;mso-position-horizontal:outside;mso-position-horizontal-relative:margin;z-index:251661312;mso-width-relative:page;mso-height-relative:page;" filled="f" stroked="f" coordsize="21600,21600" o:gfxdata="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xat43UAAAABQEAAA8A&#10;AAAAAAAAAQAgAAAAIgAAAGRycy9kb3ducmV2LnhtbFBLAQIUABQAAAAIAIdO4kB+TEDRGwIAABQE&#10;AAAOAAAAAAAAAAEAIAAAACMBAABkcnMvZTJvRG9jLnhtbFBLBQYAAAAABgAGAFkBAACwBQAAAAA=&#10;">
              <v:fill on="f" focussize="0,0"/>
              <v:stroke on="f" weight="0.5pt"/>
              <v:imagedata o:title=""/>
              <o:lock v:ext="edit" aspectratio="f"/>
              <v:textbox inset="0mm,0mm,0mm,0mm" style="mso-fit-shape-to-text:t;">
                <w:txbxContent>
                  <w:p>
                    <w:pPr>
                      <w:pStyle w:val="1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 xml:space="preserve">— </w:t>
                    </w: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PAGE  \* MERGEFORMAT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17</w:t>
                    </w:r>
                    <w:r>
                      <w:rPr>
                        <w:rFonts w:hint="eastAsia" w:asciiTheme="minorEastAsia" w:hAnsiTheme="minorEastAsia" w:eastAsiaTheme="minorEastAsia" w:cstheme="minorEastAsia"/>
                        <w:b/>
                        <w:bCs/>
                        <w:sz w:val="28"/>
                        <w:szCs w:val="28"/>
                        <w:lang w:val="en-US" w:eastAsia="zh-CN"/>
                      </w:rPr>
                      <w:fldChar w:fldCharType="end"/>
                    </w:r>
                    <w:r>
                      <w:rPr>
                        <w:rFonts w:hint="eastAsia" w:asciiTheme="minorEastAsia" w:hAnsiTheme="minorEastAsia" w:eastAsiaTheme="minorEastAsia" w:cstheme="minorEastAsia"/>
                        <w:b/>
                        <w:bCs/>
                        <w:sz w:val="28"/>
                        <w:szCs w:val="28"/>
                        <w:lang w:val="en-US" w:eastAsia="zh-CN"/>
                      </w:rPr>
                      <w:t xml:space="preserve"> —</w:t>
                    </w:r>
                    <w:r>
                      <w:rPr>
                        <w:rFonts w:hint="eastAsia" w:ascii="仿宋" w:hAnsi="仿宋" w:eastAsia="仿宋" w:cs="仿宋_GB2312"/>
                        <w:sz w:val="32"/>
                        <w:szCs w:val="32"/>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wordWrap/>
      <w:jc w:val="left"/>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011555" cy="2368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11555" cy="2368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Theme="minorEastAsia" w:hAnsiTheme="minorEastAsia" w:eastAsiaTheme="minorEastAsia" w:cstheme="minorEastAsia"/>
                              <w:sz w:val="28"/>
                              <w:szCs w:val="28"/>
                              <w:lang w:eastAsia="zh-CN"/>
                            </w:rPr>
                          </w:pPr>
                          <w:r>
                            <w:rPr>
                              <w:rFonts w:hint="eastAsia" w:ascii="仿宋" w:hAnsi="仿宋" w:eastAsia="仿宋" w:cs="仿宋_GB2312"/>
                              <w:sz w:val="32"/>
                              <w:szCs w:val="32"/>
                            </w:rPr>
                            <w:t>　</w:t>
                          </w: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65pt;width:79.65pt;mso-position-horizontal:outside;mso-position-horizontal-relative:margin;z-index:251662336;mso-width-relative:page;mso-height-relative:page;" filled="f" stroked="f" coordsize="21600,21600" o:gfxdata="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n40To1AAAAAQBAAAPAAAA&#10;AAAAAAEAIAAAACIAAABkcnMvZG93bnJldi54bWxQSwECFAAUAAAACACHTuJAHSsfShkCAAAUBAAA&#10;DgAAAAAAAAABACAAAAAjAQAAZHJzL2Uyb0RvYy54bWxQSwUGAAAAAAYABgBZAQAArgUAAAAA&#10;">
              <v:fill on="f" focussize="0,0"/>
              <v:stroke on="f" weight="0.5pt"/>
              <v:imagedata o:title=""/>
              <o:lock v:ext="edit" aspectratio="f"/>
              <v:textbox inset="0mm,0mm,0mm,0mm">
                <w:txbxContent>
                  <w:p>
                    <w:pPr>
                      <w:pStyle w:val="10"/>
                      <w:rPr>
                        <w:rFonts w:hint="eastAsia" w:asciiTheme="minorEastAsia" w:hAnsiTheme="minorEastAsia" w:eastAsiaTheme="minorEastAsia" w:cstheme="minorEastAsia"/>
                        <w:sz w:val="28"/>
                        <w:szCs w:val="28"/>
                        <w:lang w:eastAsia="zh-CN"/>
                      </w:rPr>
                    </w:pPr>
                    <w:r>
                      <w:rPr>
                        <w:rFonts w:hint="eastAsia" w:ascii="仿宋" w:hAnsi="仿宋" w:eastAsia="仿宋" w:cs="仿宋_GB2312"/>
                        <w:sz w:val="32"/>
                        <w:szCs w:val="32"/>
                      </w:rPr>
                      <w:t>　</w:t>
                    </w: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DC556E"/>
    <w:multiLevelType w:val="singleLevel"/>
    <w:tmpl w:val="32DC556E"/>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0YzllOGU4MDRlNzFlZjdlODRjOTI0YjE1YmFiYWMifQ=="/>
  </w:docVars>
  <w:rsids>
    <w:rsidRoot w:val="00172A27"/>
    <w:rsid w:val="02C536F3"/>
    <w:rsid w:val="034053FC"/>
    <w:rsid w:val="039D62D1"/>
    <w:rsid w:val="061045F5"/>
    <w:rsid w:val="061466CE"/>
    <w:rsid w:val="061A4A9F"/>
    <w:rsid w:val="06E3560D"/>
    <w:rsid w:val="074E5CD8"/>
    <w:rsid w:val="091053FB"/>
    <w:rsid w:val="09D630B1"/>
    <w:rsid w:val="0A72233E"/>
    <w:rsid w:val="0A7B3EEF"/>
    <w:rsid w:val="0C520F26"/>
    <w:rsid w:val="0C90572C"/>
    <w:rsid w:val="0D086F2F"/>
    <w:rsid w:val="0D780AC5"/>
    <w:rsid w:val="0E0014DC"/>
    <w:rsid w:val="0E11306C"/>
    <w:rsid w:val="10802DD4"/>
    <w:rsid w:val="13D62A78"/>
    <w:rsid w:val="13D85680"/>
    <w:rsid w:val="14276BD1"/>
    <w:rsid w:val="15E77E11"/>
    <w:rsid w:val="18081BB8"/>
    <w:rsid w:val="19A76394"/>
    <w:rsid w:val="1A080084"/>
    <w:rsid w:val="1A937F5B"/>
    <w:rsid w:val="1B77467A"/>
    <w:rsid w:val="1BB22B21"/>
    <w:rsid w:val="1DD21C17"/>
    <w:rsid w:val="1ED64E03"/>
    <w:rsid w:val="204F523A"/>
    <w:rsid w:val="20E80800"/>
    <w:rsid w:val="216C4685"/>
    <w:rsid w:val="2312685A"/>
    <w:rsid w:val="236B00EC"/>
    <w:rsid w:val="236D774B"/>
    <w:rsid w:val="240D398F"/>
    <w:rsid w:val="24B64059"/>
    <w:rsid w:val="25B34EA3"/>
    <w:rsid w:val="25C14ECF"/>
    <w:rsid w:val="279F6D13"/>
    <w:rsid w:val="27B25CCD"/>
    <w:rsid w:val="27C3580E"/>
    <w:rsid w:val="27EB0F0E"/>
    <w:rsid w:val="280E702B"/>
    <w:rsid w:val="28C34151"/>
    <w:rsid w:val="28E601CD"/>
    <w:rsid w:val="29843245"/>
    <w:rsid w:val="2A1D592F"/>
    <w:rsid w:val="2A9F526F"/>
    <w:rsid w:val="2D150B98"/>
    <w:rsid w:val="2DB101BE"/>
    <w:rsid w:val="2DCA1CA3"/>
    <w:rsid w:val="2DFB465B"/>
    <w:rsid w:val="2E084C0A"/>
    <w:rsid w:val="2E363DFE"/>
    <w:rsid w:val="2F57749C"/>
    <w:rsid w:val="3007305D"/>
    <w:rsid w:val="309C47BD"/>
    <w:rsid w:val="30BA46AC"/>
    <w:rsid w:val="35F76CCE"/>
    <w:rsid w:val="366D3028"/>
    <w:rsid w:val="36BD40FE"/>
    <w:rsid w:val="3700042B"/>
    <w:rsid w:val="37422DC7"/>
    <w:rsid w:val="37AF791A"/>
    <w:rsid w:val="37B112B6"/>
    <w:rsid w:val="37CF421F"/>
    <w:rsid w:val="384B208E"/>
    <w:rsid w:val="38FA6973"/>
    <w:rsid w:val="393E2C5C"/>
    <w:rsid w:val="3AC802F4"/>
    <w:rsid w:val="3AFB4881"/>
    <w:rsid w:val="3B6D211C"/>
    <w:rsid w:val="3D0F1854"/>
    <w:rsid w:val="3ECB0DF6"/>
    <w:rsid w:val="3EF838D3"/>
    <w:rsid w:val="412C5CB7"/>
    <w:rsid w:val="419709B9"/>
    <w:rsid w:val="42883820"/>
    <w:rsid w:val="42F6616A"/>
    <w:rsid w:val="430A707E"/>
    <w:rsid w:val="43D24682"/>
    <w:rsid w:val="43FF6B0D"/>
    <w:rsid w:val="483F1B76"/>
    <w:rsid w:val="487923FA"/>
    <w:rsid w:val="49F35A29"/>
    <w:rsid w:val="4A313942"/>
    <w:rsid w:val="4ABC2277"/>
    <w:rsid w:val="4B0E187B"/>
    <w:rsid w:val="4CD8224A"/>
    <w:rsid w:val="4D7C51DD"/>
    <w:rsid w:val="4EF010D2"/>
    <w:rsid w:val="50C87592"/>
    <w:rsid w:val="51423A59"/>
    <w:rsid w:val="51D53910"/>
    <w:rsid w:val="5201538B"/>
    <w:rsid w:val="52224A9B"/>
    <w:rsid w:val="52422C1D"/>
    <w:rsid w:val="526C67AA"/>
    <w:rsid w:val="52E72F5E"/>
    <w:rsid w:val="52F35F9E"/>
    <w:rsid w:val="530A5225"/>
    <w:rsid w:val="53200770"/>
    <w:rsid w:val="534922AB"/>
    <w:rsid w:val="53C55129"/>
    <w:rsid w:val="54096C3C"/>
    <w:rsid w:val="54DD325F"/>
    <w:rsid w:val="54EB2572"/>
    <w:rsid w:val="55AC6898"/>
    <w:rsid w:val="562D5A0D"/>
    <w:rsid w:val="569516F4"/>
    <w:rsid w:val="56A102A8"/>
    <w:rsid w:val="57EFBCE8"/>
    <w:rsid w:val="5CD90E8E"/>
    <w:rsid w:val="5D180726"/>
    <w:rsid w:val="5EA27097"/>
    <w:rsid w:val="5F1A56C8"/>
    <w:rsid w:val="5F7157FF"/>
    <w:rsid w:val="5F856FBB"/>
    <w:rsid w:val="5FBFCA35"/>
    <w:rsid w:val="5FCA5D54"/>
    <w:rsid w:val="603471BA"/>
    <w:rsid w:val="60D85FC6"/>
    <w:rsid w:val="61A50BC3"/>
    <w:rsid w:val="61F635EE"/>
    <w:rsid w:val="62013A87"/>
    <w:rsid w:val="6214574C"/>
    <w:rsid w:val="63397856"/>
    <w:rsid w:val="63B47677"/>
    <w:rsid w:val="64CB5532"/>
    <w:rsid w:val="64D36C5B"/>
    <w:rsid w:val="650E5689"/>
    <w:rsid w:val="6566393B"/>
    <w:rsid w:val="65D95903"/>
    <w:rsid w:val="668E790B"/>
    <w:rsid w:val="66D214D3"/>
    <w:rsid w:val="67B05358"/>
    <w:rsid w:val="67DDDFD2"/>
    <w:rsid w:val="68E8680E"/>
    <w:rsid w:val="6A632FC1"/>
    <w:rsid w:val="6ADD4630"/>
    <w:rsid w:val="6B3F69C2"/>
    <w:rsid w:val="6BF311B7"/>
    <w:rsid w:val="6C5362A0"/>
    <w:rsid w:val="6C910C86"/>
    <w:rsid w:val="6DFB19D6"/>
    <w:rsid w:val="6ED6681B"/>
    <w:rsid w:val="6FC165CF"/>
    <w:rsid w:val="703E757E"/>
    <w:rsid w:val="70421326"/>
    <w:rsid w:val="70640DDF"/>
    <w:rsid w:val="71A42A65"/>
    <w:rsid w:val="71AC6EB2"/>
    <w:rsid w:val="72E81DE1"/>
    <w:rsid w:val="732169FC"/>
    <w:rsid w:val="741E1EC5"/>
    <w:rsid w:val="75704447"/>
    <w:rsid w:val="75BFCE4A"/>
    <w:rsid w:val="76CC3391"/>
    <w:rsid w:val="776A3384"/>
    <w:rsid w:val="777B32ED"/>
    <w:rsid w:val="77DB56C3"/>
    <w:rsid w:val="78836552"/>
    <w:rsid w:val="789F2F78"/>
    <w:rsid w:val="799D3C08"/>
    <w:rsid w:val="7A5F1EA7"/>
    <w:rsid w:val="7A7C4737"/>
    <w:rsid w:val="7B3717A0"/>
    <w:rsid w:val="7C7F3A30"/>
    <w:rsid w:val="7D147C03"/>
    <w:rsid w:val="7D6E177E"/>
    <w:rsid w:val="7DF7855B"/>
    <w:rsid w:val="7DFB1FF8"/>
    <w:rsid w:val="7DFF5C46"/>
    <w:rsid w:val="7E59655E"/>
    <w:rsid w:val="7E5C5D5A"/>
    <w:rsid w:val="7EFF4722"/>
    <w:rsid w:val="7F3F2445"/>
    <w:rsid w:val="7F663801"/>
    <w:rsid w:val="7F8A1BDA"/>
    <w:rsid w:val="7FA55AE4"/>
    <w:rsid w:val="7FCB1CB8"/>
    <w:rsid w:val="7FFFF0A9"/>
    <w:rsid w:val="9BF75AC6"/>
    <w:rsid w:val="9C1E5EA1"/>
    <w:rsid w:val="B1CFC42E"/>
    <w:rsid w:val="BFFEA54E"/>
    <w:rsid w:val="BFFF4491"/>
    <w:rsid w:val="CF7600ED"/>
    <w:rsid w:val="CF7F145F"/>
    <w:rsid w:val="D97BF8E6"/>
    <w:rsid w:val="D9ECB757"/>
    <w:rsid w:val="DAEF589C"/>
    <w:rsid w:val="DFFB2D11"/>
    <w:rsid w:val="E9D5A953"/>
    <w:rsid w:val="EB8F53BA"/>
    <w:rsid w:val="EDFF4596"/>
    <w:rsid w:val="F73EF977"/>
    <w:rsid w:val="F7A35C5F"/>
    <w:rsid w:val="F8E799D3"/>
    <w:rsid w:val="FE6F104B"/>
    <w:rsid w:val="FF9DA6C5"/>
    <w:rsid w:val="FFE75F49"/>
    <w:rsid w:val="FFEE2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Calibri" w:eastAsia="仿宋_GB2312" w:cs="Times New Roman"/>
      <w:kern w:val="2"/>
      <w:sz w:val="32"/>
      <w:szCs w:val="22"/>
      <w:lang w:val="en-US" w:eastAsia="zh-CN" w:bidi="ar-SA"/>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7">
    <w:name w:val="Default Paragraph Font"/>
    <w:semiHidden/>
    <w:qFormat/>
    <w:uiPriority w:val="0"/>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kern w:val="0"/>
      <w:sz w:val="20"/>
    </w:rPr>
  </w:style>
  <w:style w:type="paragraph" w:styleId="4">
    <w:name w:val="Normal Indent"/>
    <w:basedOn w:val="1"/>
    <w:unhideWhenUsed/>
    <w:qFormat/>
    <w:uiPriority w:val="99"/>
    <w:pPr>
      <w:spacing w:line="560" w:lineRule="exact"/>
      <w:ind w:firstLine="560"/>
    </w:pPr>
    <w:rPr>
      <w:rFonts w:eastAsia="仿宋_GB2312"/>
      <w:sz w:val="36"/>
      <w:szCs w:val="36"/>
    </w:rPr>
  </w:style>
  <w:style w:type="paragraph" w:styleId="5">
    <w:name w:val="toa heading"/>
    <w:basedOn w:val="1"/>
    <w:next w:val="1"/>
    <w:qFormat/>
    <w:uiPriority w:val="0"/>
    <w:pPr>
      <w:spacing w:before="120"/>
    </w:pPr>
    <w:rPr>
      <w:rFonts w:ascii="Arial" w:hAnsi="Arial" w:eastAsia="等线"/>
      <w:sz w:val="24"/>
    </w:rPr>
  </w:style>
  <w:style w:type="paragraph" w:styleId="6">
    <w:name w:val="annotation text"/>
    <w:basedOn w:val="1"/>
    <w:qFormat/>
    <w:uiPriority w:val="0"/>
    <w:pPr>
      <w:jc w:val="left"/>
    </w:pPr>
  </w:style>
  <w:style w:type="paragraph" w:styleId="7">
    <w:name w:val="Body Text"/>
    <w:basedOn w:val="1"/>
    <w:next w:val="8"/>
    <w:semiHidden/>
    <w:qFormat/>
    <w:uiPriority w:val="0"/>
    <w:rPr>
      <w:rFonts w:ascii="FangSong_GB2312" w:hAnsi="FangSong_GB2312" w:eastAsia="FangSong_GB2312" w:cs="FangSong_GB2312"/>
      <w:sz w:val="31"/>
      <w:szCs w:val="31"/>
      <w:lang w:val="en-US" w:eastAsia="en-US" w:bidi="ar-SA"/>
    </w:rPr>
  </w:style>
  <w:style w:type="paragraph" w:customStyle="1" w:styleId="8">
    <w:name w:val="目录 11"/>
    <w:next w:val="1"/>
    <w:qFormat/>
    <w:uiPriority w:val="0"/>
    <w:pPr>
      <w:wordWrap w:val="0"/>
      <w:spacing w:after="160" w:line="278" w:lineRule="auto"/>
      <w:jc w:val="both"/>
    </w:pPr>
    <w:rPr>
      <w:rFonts w:ascii="Times New Roman" w:hAnsi="Times New Roman" w:eastAsia="宋体" w:cs="Times New Roman"/>
      <w:sz w:val="21"/>
      <w:szCs w:val="22"/>
      <w:lang w:val="en-US" w:eastAsia="zh-CN" w:bidi="ar-SA"/>
    </w:rPr>
  </w:style>
  <w:style w:type="paragraph" w:styleId="9">
    <w:name w:val="Body Text Indent"/>
    <w:basedOn w:val="1"/>
    <w:semiHidden/>
    <w:unhideWhenUsed/>
    <w:qFormat/>
    <w:uiPriority w:val="99"/>
    <w:pPr>
      <w:spacing w:after="120"/>
      <w:ind w:left="420" w:leftChars="200"/>
    </w:p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footnote text"/>
    <w:basedOn w:val="1"/>
    <w:qFormat/>
    <w:uiPriority w:val="0"/>
    <w:pPr>
      <w:snapToGrid w:val="0"/>
      <w:jc w:val="left"/>
    </w:pPr>
    <w:rPr>
      <w:sz w:val="18"/>
    </w:rPr>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Body Text First Indent 2"/>
    <w:basedOn w:val="9"/>
    <w:unhideWhenUsed/>
    <w:qFormat/>
    <w:uiPriority w:val="99"/>
    <w:pPr>
      <w:widowControl/>
      <w:adjustRightInd w:val="0"/>
      <w:snapToGrid w:val="0"/>
      <w:spacing w:line="278" w:lineRule="auto"/>
      <w:ind w:firstLine="420" w:firstLineChars="200"/>
      <w:jc w:val="left"/>
    </w:pPr>
    <w:rPr>
      <w:rFonts w:ascii="Tahoma" w:hAnsi="Tahoma" w:eastAsia="微软雅黑" w:cs="Times New Roman"/>
      <w:kern w:val="0"/>
      <w:sz w:val="22"/>
      <w:szCs w:val="2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qFormat/>
    <w:uiPriority w:val="0"/>
    <w:rPr>
      <w:vertAlign w:val="superscript"/>
    </w:rPr>
  </w:style>
  <w:style w:type="paragraph" w:customStyle="1" w:styleId="19">
    <w:name w:val="Default"/>
    <w:unhideWhenUsed/>
    <w:qFormat/>
    <w:uiPriority w:val="99"/>
    <w:pPr>
      <w:widowControl w:val="0"/>
      <w:autoSpaceDE w:val="0"/>
      <w:autoSpaceDN w:val="0"/>
      <w:adjustRightInd w:val="0"/>
      <w:spacing w:beforeLines="0" w:afterLines="0"/>
    </w:pPr>
    <w:rPr>
      <w:rFonts w:hint="default" w:ascii="KaiTi_GB2312" w:hAnsi="KaiTi_GB2312" w:eastAsia="KaiTi_GB2312" w:cs="Times New Roman"/>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西城园管委会</Company>
  <Pages>8</Pages>
  <Words>3398</Words>
  <Characters>3483</Characters>
  <Lines>0</Lines>
  <Paragraphs>0</Paragraphs>
  <TotalTime>31</TotalTime>
  <ScaleCrop>false</ScaleCrop>
  <LinksUpToDate>false</LinksUpToDate>
  <CharactersWithSpaces>3518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2021-05-20T16:32:00Z</dcterms:created>
  <dc:creator>admin</dc:creator>
  <cp:lastModifiedBy>LiuH</cp:lastModifiedBy>
  <cp:lastPrinted>2026-08-14T01:50:00Z</cp:lastPrinted>
  <dcterms:modified xsi:type="dcterms:W3CDTF">2026-08-17T06:16:22Z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FB75E4C220724C4BA316C3F6F653FA21_13</vt:lpwstr>
  </property>
  <property fmtid="{D5CDD505-2E9C-101B-9397-08002B2CF9AE}" pid="4" name="KSOTemplateDocerSaveRecord">
    <vt:lpwstr>eyJoZGlkIjoiYjgwZDUxYjhiMzM2YTFkMWRhMTAyY2RjN2JjMGVlNWUiLCJ1c2VySWQiOiIzMTc0MzQwMzYifQ==</vt:lpwstr>
  </property>
</Properties>
</file>