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8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北京市西城区科技企业孵化器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8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认定、评价及支持政策兑现指南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56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sz w:val="32"/>
          <w:szCs w:val="32"/>
          <w:lang w:eastAsia="zh-CN"/>
        </w:rPr>
        <w:t>第九条</w:t>
      </w:r>
      <w:r>
        <w:rPr>
          <w:rFonts w:hint="eastAsia" w:ascii="楷体_GB2312" w:hAnsi="楷体_GB2312" w:eastAsia="楷体_GB2312" w:cs="楷体_GB2312"/>
          <w:b w:val="0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b w:val="0"/>
          <w:sz w:val="32"/>
          <w:szCs w:val="32"/>
        </w:rPr>
        <w:t>区级科技企业孵化器认定及运营支持</w:t>
      </w:r>
      <w:r>
        <w:rPr>
          <w:rFonts w:hint="eastAsia" w:ascii="楷体_GB2312" w:hAnsi="楷体_GB2312" w:eastAsia="楷体_GB2312" w:cs="楷体_GB2312"/>
          <w:b w:val="0"/>
          <w:sz w:val="32"/>
          <w:szCs w:val="32"/>
          <w:lang w:eastAsia="zh-CN"/>
        </w:rPr>
        <w:t>部分</w:t>
      </w:r>
    </w:p>
    <w:p>
      <w:pPr>
        <w:pStyle w:val="2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560" w:lineRule="exact"/>
        <w:ind w:firstLine="640"/>
        <w:textAlignment w:val="auto"/>
        <w:rPr>
          <w:rFonts w:ascii="黑体" w:hAnsi="黑体" w:eastAsia="黑体"/>
          <w:b w:val="0"/>
          <w:sz w:val="32"/>
        </w:rPr>
      </w:pPr>
      <w:r>
        <w:rPr>
          <w:rFonts w:ascii="仿宋_GB2312" w:hAnsi="仿宋_GB2312" w:eastAsia="仿宋_GB2312"/>
          <w:b w:val="0"/>
          <w:sz w:val="32"/>
        </w:rPr>
        <w:t>本指南适用于</w:t>
      </w:r>
      <w:r>
        <w:rPr>
          <w:rFonts w:hint="eastAsia"/>
          <w:b w:val="0"/>
          <w:sz w:val="32"/>
          <w:lang w:eastAsia="zh-CN"/>
        </w:rPr>
        <w:t>在</w:t>
      </w:r>
      <w:r>
        <w:rPr>
          <w:rFonts w:ascii="仿宋_GB2312" w:hAnsi="仿宋_GB2312" w:eastAsia="仿宋_GB2312"/>
          <w:b w:val="0"/>
          <w:sz w:val="32"/>
        </w:rPr>
        <w:t>西城区规范经营、符合区域功能定位和产业发展方向的科技企业孵化器运营主体。已认定</w:t>
      </w:r>
      <w:r>
        <w:rPr>
          <w:rFonts w:hint="eastAsia"/>
          <w:b w:val="0"/>
          <w:sz w:val="32"/>
          <w:lang w:eastAsia="zh-CN"/>
        </w:rPr>
        <w:t>的</w:t>
      </w:r>
      <w:r>
        <w:rPr>
          <w:rFonts w:ascii="仿宋_GB2312" w:hAnsi="仿宋_GB2312" w:eastAsia="仿宋_GB2312"/>
          <w:b w:val="0"/>
          <w:sz w:val="32"/>
        </w:rPr>
        <w:t>区级科技企业孵化器应按要求参加年度复核和动态评价，未通过复核或评价不合格的，按照政策规定影响相关资金支持；连续两年评价结果为不合格的，按程序取消区级科技企业孵化器资格。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8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</w:rPr>
      </w:pPr>
      <w:r>
        <w:rPr>
          <w:rFonts w:hint="eastAsia" w:ascii="黑体" w:hAnsi="黑体" w:eastAsia="黑体" w:cs="黑体"/>
          <w:b w:val="0"/>
          <w:bCs/>
          <w:sz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/>
          <w:sz w:val="32"/>
        </w:rPr>
        <w:t>支持对象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560" w:lineRule="exact"/>
        <w:ind w:firstLine="640" w:firstLineChars="200"/>
        <w:textAlignment w:val="auto"/>
      </w:pPr>
      <w:r>
        <w:rPr>
          <w:rFonts w:ascii="仿宋_GB2312" w:hAnsi="仿宋_GB2312" w:eastAsia="仿宋_GB2312"/>
          <w:b w:val="0"/>
          <w:sz w:val="32"/>
        </w:rPr>
        <w:t>申报单位应为在西城区规范经营、具有独立法人资格的企业</w:t>
      </w:r>
      <w:r>
        <w:rPr>
          <w:rFonts w:hint="eastAsia"/>
          <w:b w:val="0"/>
          <w:sz w:val="32"/>
          <w:lang w:eastAsia="zh-CN"/>
        </w:rPr>
        <w:t>单位</w:t>
      </w:r>
      <w:r>
        <w:rPr>
          <w:rFonts w:ascii="仿宋_GB2312" w:hAnsi="仿宋_GB2312" w:eastAsia="仿宋_GB2312"/>
          <w:b w:val="0"/>
          <w:sz w:val="32"/>
        </w:rPr>
        <w:t>，符合区级科技企业孵化器认定条件，近三年未发生严重违法违规、重大安全生产、环境保护、质量责任等问题。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8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</w:rPr>
      </w:pPr>
      <w:r>
        <w:rPr>
          <w:rFonts w:hint="eastAsia" w:ascii="黑体" w:hAnsi="黑体" w:eastAsia="黑体" w:cs="黑体"/>
          <w:b w:val="0"/>
          <w:bCs/>
          <w:sz w:val="32"/>
          <w:lang w:eastAsia="zh-CN"/>
        </w:rPr>
        <w:t>二、</w:t>
      </w:r>
      <w:r>
        <w:rPr>
          <w:rFonts w:hint="eastAsia" w:ascii="黑体" w:hAnsi="黑体" w:eastAsia="黑体" w:cs="黑体"/>
          <w:b w:val="0"/>
          <w:bCs/>
          <w:sz w:val="32"/>
        </w:rPr>
        <w:t>支持条件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z w:val="32"/>
          <w:szCs w:val="32"/>
        </w:rPr>
        <w:t>申报主体条件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申报单位应为在西城区规范经营、具有独立法人资格的企业单位，近三年未发生严重违法违规、重大安全生产、环境保护、质量责任等问题。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（二）孵化空间条件</w:t>
      </w:r>
    </w:p>
    <w:p>
      <w:pPr>
        <w:pStyle w:val="2"/>
        <w:rPr>
          <w:rFonts w:hint="eastAsia" w:eastAsia="仿宋_GB2312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具有稳定清晰的孵化场地，可自主支配（自有、租赁或协议使用）的孵化场地面积不低于1000平方米。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sz w:val="32"/>
          <w:szCs w:val="32"/>
        </w:rPr>
        <w:t>企业集聚条件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孵化器应形成一定规模的科技型企业集聚，在西城区规范经营的在孵科技企业数量不少于 10 家，且占在孵企业总数比例不低于 60%；科技型中小企业和创新型中小企业占比不低于 20%；国家高新技术企业占比不低于 15%。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（四）</w:t>
      </w:r>
      <w:r>
        <w:rPr>
          <w:rFonts w:hint="eastAsia" w:ascii="楷体_GB2312" w:hAnsi="楷体_GB2312" w:eastAsia="楷体_GB2312" w:cs="楷体_GB2312"/>
          <w:sz w:val="32"/>
          <w:szCs w:val="32"/>
        </w:rPr>
        <w:t>新增企业条件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度新增在西城区规范经营的在孵科技企业数量占比不低于 3%或新增数量不少于 10 家，能够体现孵化器持续招引、培育和服务科技型企业的能力。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（五）</w:t>
      </w:r>
      <w:r>
        <w:rPr>
          <w:rFonts w:hint="eastAsia" w:ascii="楷体_GB2312" w:hAnsi="楷体_GB2312" w:eastAsia="楷体_GB2312" w:cs="楷体_GB2312"/>
          <w:sz w:val="32"/>
          <w:szCs w:val="32"/>
        </w:rPr>
        <w:t>运营团队条件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孵化器应配备专业化、职业化运营团队，拥有专业孵化服务人员不少于 5 人；鼓励聘用全职或专职技术经理人、科技成果转化项目经理等专业人员；签约创业导师不少于 3 人，每年组织导师服务不少于 10 人次。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（六）</w:t>
      </w:r>
      <w:r>
        <w:rPr>
          <w:rFonts w:hint="eastAsia" w:ascii="楷体_GB2312" w:hAnsi="楷体_GB2312" w:eastAsia="楷体_GB2312" w:cs="楷体_GB2312"/>
          <w:sz w:val="32"/>
          <w:szCs w:val="32"/>
        </w:rPr>
        <w:t>金融服务条件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孵化器应具备为在孵企业提供投融资对接、融资辅导、授信支持等服务的能力，上年度协助不少于 5 家在孵企业对接股权投资、债权投资、银行融资、授信支持或其他金融服务。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（七）</w:t>
      </w:r>
      <w:r>
        <w:rPr>
          <w:rFonts w:hint="eastAsia" w:ascii="楷体_GB2312" w:hAnsi="楷体_GB2312" w:eastAsia="楷体_GB2312" w:cs="楷体_GB2312"/>
          <w:sz w:val="32"/>
          <w:szCs w:val="32"/>
        </w:rPr>
        <w:t>专业服务条件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孵化器应能够围绕企业成长需要提供资源对接、专业平台、概念验证等服务。其中，资源对接服务应覆盖产品设计、品牌策划、市场营销、创业培训、融资对接、知识产权、技术转移、财务、法律、商务等内容；与不少于 10 家专业服务机构建立稳定合作关系；每年开展各类专业孵化服务不少于 20 场次。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（八）平台服务条件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孵化器应通过自建、共建、合作等方式，建设或链接公共技术服务平台、中试基地、检验检测平台、概念验证平台等专业服务资源，为在孵企业提供研发、设计、测试、验证、成果转化等支撑服务。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（九）专业服务收入条件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56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上年度为在孵企业提供专业服务取得的收入占总收入比例不低于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20%，或近两年专业服务收入平均增速不低于 3%，能够体现孵化器服务能力和可持续运营水平。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8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lang w:eastAsia="zh-CN"/>
        </w:rPr>
        <w:t>三、支持方式和金额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560" w:lineRule="exact"/>
        <w:ind w:firstLine="640" w:firstLineChars="200"/>
        <w:textAlignment w:val="auto"/>
      </w:pPr>
      <w:r>
        <w:rPr>
          <w:rFonts w:ascii="仿宋_GB2312" w:hAnsi="仿宋_GB2312" w:eastAsia="仿宋_GB2312"/>
          <w:b w:val="0"/>
          <w:sz w:val="32"/>
        </w:rPr>
        <w:t>对经认定符合条件的区级科技企业孵化器，按照程序给予30万元运营资金支持。已认定的区级科技企业孵化器应按年度参加复核，未通过复核的，不予支持。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8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</w:rPr>
      </w:pPr>
      <w:r>
        <w:rPr>
          <w:rFonts w:hint="eastAsia" w:ascii="黑体" w:hAnsi="黑体" w:eastAsia="黑体" w:cs="黑体"/>
          <w:b w:val="0"/>
          <w:bCs/>
          <w:sz w:val="32"/>
          <w:lang w:eastAsia="zh-CN"/>
        </w:rPr>
        <w:t>四、</w:t>
      </w:r>
      <w:r>
        <w:rPr>
          <w:rFonts w:hint="eastAsia" w:ascii="黑体" w:hAnsi="黑体" w:eastAsia="黑体" w:cs="黑体"/>
          <w:b w:val="0"/>
          <w:bCs/>
          <w:sz w:val="32"/>
        </w:rPr>
        <w:t>申报材料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560" w:lineRule="exact"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/>
          <w:b w:val="0"/>
          <w:sz w:val="32"/>
          <w:lang w:eastAsia="zh-CN"/>
        </w:rPr>
        <w:t>（一）</w:t>
      </w:r>
      <w:r>
        <w:rPr>
          <w:rFonts w:ascii="仿宋_GB2312" w:hAnsi="仿宋_GB2312" w:eastAsia="仿宋_GB2312"/>
          <w:b w:val="0"/>
          <w:sz w:val="32"/>
        </w:rPr>
        <w:t>年度政策兑现申请书。应载明申报单位基本情况、申报条款、申请支持事项、申请金额、申报依据、真实性承诺等内容</w:t>
      </w:r>
      <w:r>
        <w:rPr>
          <w:rFonts w:hint="eastAsia"/>
          <w:b w:val="0"/>
          <w:sz w:val="32"/>
          <w:lang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560" w:lineRule="exact"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ascii="仿宋_GB2312" w:hAnsi="仿宋_GB2312" w:eastAsia="仿宋_GB2312"/>
          <w:b w:val="0"/>
          <w:sz w:val="32"/>
        </w:rPr>
        <w:t>（二）申报单位主体资格证明及在西城区规范经营证明材料。包括营业执照、办公或经营场所证明、纳税或统计关系、信用情况等能够证明申报主体依法依规在西城区规范经营的材料</w:t>
      </w:r>
      <w:r>
        <w:rPr>
          <w:rFonts w:hint="eastAsia"/>
          <w:b w:val="0"/>
          <w:sz w:val="32"/>
          <w:lang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560" w:lineRule="exact"/>
        <w:ind w:firstLine="640" w:firstLineChars="200"/>
        <w:textAlignment w:val="auto"/>
        <w:rPr>
          <w:rFonts w:ascii="仿宋_GB2312" w:hAnsi="仿宋_GB2312" w:eastAsia="仿宋_GB2312"/>
          <w:b w:val="0"/>
          <w:sz w:val="32"/>
        </w:rPr>
      </w:pPr>
      <w:r>
        <w:rPr>
          <w:rFonts w:ascii="仿宋_GB2312" w:hAnsi="仿宋_GB2312" w:eastAsia="仿宋_GB2312"/>
          <w:b w:val="0"/>
          <w:sz w:val="32"/>
        </w:rPr>
        <w:t>（</w:t>
      </w:r>
      <w:r>
        <w:rPr>
          <w:rFonts w:hint="eastAsia"/>
          <w:b w:val="0"/>
          <w:sz w:val="32"/>
          <w:lang w:eastAsia="zh-CN"/>
        </w:rPr>
        <w:t>三</w:t>
      </w:r>
      <w:r>
        <w:rPr>
          <w:rFonts w:ascii="仿宋_GB2312" w:hAnsi="仿宋_GB2312" w:eastAsia="仿宋_GB2312"/>
          <w:b w:val="0"/>
          <w:sz w:val="32"/>
        </w:rPr>
        <w:t>）</w:t>
      </w:r>
      <w:r>
        <w:rPr>
          <w:rFonts w:hint="eastAsia" w:ascii="仿宋_GB2312" w:hAnsi="仿宋_GB2312" w:eastAsia="仿宋_GB2312" w:cs="仿宋_GB2312"/>
          <w:b w:val="0"/>
          <w:sz w:val="32"/>
          <w:szCs w:val="32"/>
        </w:rPr>
        <w:t>区级科技企业孵化器认定</w:t>
      </w:r>
      <w:r>
        <w:rPr>
          <w:rFonts w:hint="eastAsia" w:ascii="仿宋_GB2312" w:hAnsi="仿宋_GB2312" w:eastAsia="仿宋_GB2312"/>
          <w:b w:val="0"/>
          <w:sz w:val="32"/>
        </w:rPr>
        <w:t>申请书</w:t>
      </w:r>
      <w:r>
        <w:rPr>
          <w:rFonts w:ascii="仿宋_GB2312" w:hAnsi="仿宋_GB2312" w:eastAsia="仿宋_GB2312"/>
          <w:b w:val="0"/>
          <w:sz w:val="32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560" w:lineRule="exact"/>
        <w:ind w:firstLine="640" w:firstLineChars="200"/>
        <w:textAlignment w:val="auto"/>
        <w:rPr>
          <w:rFonts w:hint="eastAsia" w:ascii="仿宋_GB2312" w:hAnsi="仿宋_GB2312" w:eastAsia="仿宋_GB2312"/>
          <w:b w:val="0"/>
          <w:sz w:val="32"/>
          <w:lang w:eastAsia="zh-CN"/>
        </w:rPr>
      </w:pPr>
      <w:r>
        <w:rPr>
          <w:rFonts w:ascii="仿宋_GB2312" w:hAnsi="仿宋_GB2312" w:eastAsia="仿宋_GB2312"/>
          <w:b w:val="0"/>
          <w:sz w:val="32"/>
        </w:rPr>
        <w:t>（</w:t>
      </w:r>
      <w:r>
        <w:rPr>
          <w:rFonts w:hint="eastAsia"/>
          <w:b w:val="0"/>
          <w:sz w:val="32"/>
          <w:lang w:eastAsia="zh-CN"/>
        </w:rPr>
        <w:t>四</w:t>
      </w:r>
      <w:r>
        <w:rPr>
          <w:rFonts w:ascii="仿宋_GB2312" w:hAnsi="仿宋_GB2312" w:eastAsia="仿宋_GB2312"/>
          <w:b w:val="0"/>
          <w:sz w:val="32"/>
        </w:rPr>
        <w:t>）</w:t>
      </w:r>
      <w:r>
        <w:rPr>
          <w:rFonts w:hint="eastAsia"/>
          <w:b w:val="0"/>
          <w:sz w:val="32"/>
          <w:lang w:eastAsia="zh-CN"/>
        </w:rPr>
        <w:t>申报年度和上年度</w:t>
      </w:r>
      <w:r>
        <w:rPr>
          <w:rFonts w:ascii="仿宋_GB2312" w:hAnsi="仿宋_GB2312" w:eastAsia="仿宋_GB2312"/>
          <w:b w:val="0"/>
          <w:sz w:val="32"/>
        </w:rPr>
        <w:t>在孵企业清单。应包括企业名称、统一社会信用代码、注册地址、实际经营地址、所属行业、入孵时间、孵化协议期限、是否科技型企业、是否科技型中小企业、是否创新型中小企业、是否国家高新技术企业等内容，并根据申报事项补充企业变化</w:t>
      </w:r>
      <w:r>
        <w:rPr>
          <w:rFonts w:hint="eastAsia"/>
          <w:b w:val="0"/>
          <w:sz w:val="32"/>
          <w:lang w:eastAsia="zh-CN"/>
        </w:rPr>
        <w:t>（存量、新增、迁出、注销）</w:t>
      </w:r>
      <w:r>
        <w:rPr>
          <w:rFonts w:ascii="仿宋_GB2312" w:hAnsi="仿宋_GB2312" w:eastAsia="仿宋_GB2312"/>
          <w:b w:val="0"/>
          <w:sz w:val="32"/>
        </w:rPr>
        <w:t>、成长成果、毕业情况等说明</w:t>
      </w:r>
      <w:r>
        <w:rPr>
          <w:rFonts w:hint="eastAsia"/>
          <w:b w:val="0"/>
          <w:sz w:val="32"/>
          <w:lang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560" w:lineRule="exact"/>
        <w:ind w:firstLine="640" w:firstLineChars="200"/>
        <w:textAlignment w:val="auto"/>
      </w:pPr>
      <w:r>
        <w:rPr>
          <w:rFonts w:ascii="仿宋_GB2312" w:hAnsi="仿宋_GB2312" w:eastAsia="仿宋_GB2312"/>
          <w:b w:val="0"/>
          <w:sz w:val="32"/>
        </w:rPr>
        <w:t>（</w:t>
      </w:r>
      <w:r>
        <w:rPr>
          <w:rFonts w:hint="eastAsia"/>
          <w:b w:val="0"/>
          <w:sz w:val="32"/>
          <w:lang w:eastAsia="zh-CN"/>
        </w:rPr>
        <w:t>五</w:t>
      </w:r>
      <w:r>
        <w:rPr>
          <w:rFonts w:ascii="仿宋_GB2312" w:hAnsi="仿宋_GB2312" w:eastAsia="仿宋_GB2312"/>
          <w:b w:val="0"/>
          <w:sz w:val="32"/>
        </w:rPr>
        <w:t>）孵化器运营团队人员名单、劳动合同或社保缴纳证明、岗位职责说明、专业能力证明等材料；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560" w:lineRule="exact"/>
        <w:ind w:firstLine="640" w:firstLineChars="200"/>
        <w:textAlignment w:val="auto"/>
      </w:pPr>
      <w:r>
        <w:rPr>
          <w:rFonts w:ascii="仿宋_GB2312" w:hAnsi="仿宋_GB2312" w:eastAsia="仿宋_GB2312"/>
          <w:b w:val="0"/>
          <w:sz w:val="32"/>
        </w:rPr>
        <w:t>（</w:t>
      </w:r>
      <w:r>
        <w:rPr>
          <w:rFonts w:hint="eastAsia"/>
          <w:b w:val="0"/>
          <w:sz w:val="32"/>
          <w:lang w:eastAsia="zh-CN"/>
        </w:rPr>
        <w:t>六</w:t>
      </w:r>
      <w:r>
        <w:rPr>
          <w:rFonts w:ascii="仿宋_GB2312" w:hAnsi="仿宋_GB2312" w:eastAsia="仿宋_GB2312"/>
          <w:b w:val="0"/>
          <w:sz w:val="32"/>
        </w:rPr>
        <w:t>）创业导师名单、导师聘书或合作协议、导师服务记录、服务对象清单、服务成效说明等材料；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560" w:lineRule="exact"/>
        <w:ind w:firstLine="640" w:firstLineChars="200"/>
        <w:textAlignment w:val="auto"/>
      </w:pPr>
      <w:r>
        <w:rPr>
          <w:rFonts w:ascii="仿宋_GB2312" w:hAnsi="仿宋_GB2312" w:eastAsia="仿宋_GB2312"/>
          <w:b w:val="0"/>
          <w:sz w:val="32"/>
        </w:rPr>
        <w:t>（</w:t>
      </w:r>
      <w:r>
        <w:rPr>
          <w:rFonts w:hint="eastAsia"/>
          <w:b w:val="0"/>
          <w:sz w:val="32"/>
          <w:lang w:eastAsia="zh-CN"/>
        </w:rPr>
        <w:t>七</w:t>
      </w:r>
      <w:r>
        <w:rPr>
          <w:rFonts w:ascii="仿宋_GB2312" w:hAnsi="仿宋_GB2312" w:eastAsia="仿宋_GB2312"/>
          <w:b w:val="0"/>
          <w:sz w:val="32"/>
        </w:rPr>
        <w:t>）投融资服务情况证明材料，包括融资对接活动记录、投资机构或金融机构合作协议、企业融资或授信证明、贷款合同、投资协议、服务确认书等；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560" w:lineRule="exact"/>
        <w:ind w:firstLine="640" w:firstLineChars="200"/>
        <w:textAlignment w:val="auto"/>
      </w:pPr>
      <w:r>
        <w:rPr>
          <w:rFonts w:ascii="仿宋_GB2312" w:hAnsi="仿宋_GB2312" w:eastAsia="仿宋_GB2312"/>
          <w:b w:val="0"/>
          <w:sz w:val="32"/>
        </w:rPr>
        <w:t>（</w:t>
      </w:r>
      <w:r>
        <w:rPr>
          <w:rFonts w:hint="eastAsia"/>
          <w:b w:val="0"/>
          <w:sz w:val="32"/>
          <w:lang w:eastAsia="zh-CN"/>
        </w:rPr>
        <w:t>八</w:t>
      </w:r>
      <w:r>
        <w:rPr>
          <w:rFonts w:ascii="仿宋_GB2312" w:hAnsi="仿宋_GB2312" w:eastAsia="仿宋_GB2312"/>
          <w:b w:val="0"/>
          <w:sz w:val="32"/>
        </w:rPr>
        <w:t>）专业服务机构合作清单及合作协议，专业服务活动通知、签到表、照片、新闻宣传、服务记录、企业反馈等材料；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560" w:lineRule="exact"/>
        <w:ind w:firstLine="640" w:firstLineChars="200"/>
        <w:textAlignment w:val="auto"/>
      </w:pPr>
      <w:r>
        <w:rPr>
          <w:rFonts w:ascii="仿宋_GB2312" w:hAnsi="仿宋_GB2312" w:eastAsia="仿宋_GB2312"/>
          <w:b w:val="0"/>
          <w:sz w:val="32"/>
        </w:rPr>
        <w:t>（</w:t>
      </w:r>
      <w:r>
        <w:rPr>
          <w:rFonts w:hint="eastAsia"/>
          <w:b w:val="0"/>
          <w:sz w:val="32"/>
          <w:lang w:eastAsia="zh-CN"/>
        </w:rPr>
        <w:t>九</w:t>
      </w:r>
      <w:r>
        <w:rPr>
          <w:rFonts w:ascii="仿宋_GB2312" w:hAnsi="仿宋_GB2312" w:eastAsia="仿宋_GB2312"/>
          <w:b w:val="0"/>
          <w:sz w:val="32"/>
        </w:rPr>
        <w:t>）公共服务平台、专业技术平台、中试基地、概念验证平台等建设或合作材料，包括平台介绍、合作协议、服务记录、服务企业清单、服务成效等；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560" w:lineRule="exact"/>
        <w:ind w:firstLine="640" w:firstLineChars="200"/>
        <w:textAlignment w:val="auto"/>
      </w:pPr>
      <w:r>
        <w:rPr>
          <w:rFonts w:ascii="仿宋_GB2312" w:hAnsi="仿宋_GB2312" w:eastAsia="仿宋_GB2312"/>
          <w:b w:val="0"/>
          <w:sz w:val="32"/>
        </w:rPr>
        <w:t>（</w:t>
      </w:r>
      <w:r>
        <w:rPr>
          <w:rFonts w:hint="eastAsia"/>
          <w:b w:val="0"/>
          <w:sz w:val="32"/>
          <w:lang w:eastAsia="zh-CN"/>
        </w:rPr>
        <w:t>十</w:t>
      </w:r>
      <w:r>
        <w:rPr>
          <w:rFonts w:ascii="仿宋_GB2312" w:hAnsi="仿宋_GB2312" w:eastAsia="仿宋_GB2312"/>
          <w:b w:val="0"/>
          <w:sz w:val="32"/>
        </w:rPr>
        <w:t>）专业服务收入专项审计报告；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560" w:lineRule="exact"/>
        <w:ind w:firstLine="640" w:firstLineChars="200"/>
        <w:textAlignment w:val="auto"/>
      </w:pPr>
      <w:r>
        <w:rPr>
          <w:rFonts w:ascii="仿宋_GB2312" w:hAnsi="仿宋_GB2312" w:eastAsia="仿宋_GB2312"/>
          <w:b w:val="0"/>
          <w:sz w:val="32"/>
        </w:rPr>
        <w:t>（</w:t>
      </w:r>
      <w:r>
        <w:rPr>
          <w:rFonts w:hint="eastAsia"/>
          <w:b w:val="0"/>
          <w:sz w:val="32"/>
          <w:lang w:eastAsia="zh-CN"/>
        </w:rPr>
        <w:t>十一</w:t>
      </w:r>
      <w:r>
        <w:rPr>
          <w:rFonts w:ascii="仿宋_GB2312" w:hAnsi="仿宋_GB2312" w:eastAsia="仿宋_GB2312"/>
          <w:b w:val="0"/>
          <w:sz w:val="32"/>
        </w:rPr>
        <w:t>）企业开户许可证复印件或基本账户信息；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560" w:lineRule="exact"/>
        <w:ind w:firstLine="640" w:firstLineChars="200"/>
        <w:textAlignment w:val="auto"/>
        <w:rPr>
          <w:rFonts w:ascii="仿宋_GB2312" w:hAnsi="仿宋_GB2312" w:eastAsia="仿宋_GB2312"/>
          <w:b w:val="0"/>
          <w:sz w:val="32"/>
        </w:rPr>
      </w:pPr>
      <w:r>
        <w:rPr>
          <w:rFonts w:ascii="仿宋_GB2312" w:hAnsi="仿宋_GB2312" w:eastAsia="仿宋_GB2312"/>
          <w:b w:val="0"/>
          <w:sz w:val="32"/>
        </w:rPr>
        <w:t>（</w:t>
      </w:r>
      <w:r>
        <w:rPr>
          <w:rFonts w:hint="eastAsia"/>
          <w:b w:val="0"/>
          <w:sz w:val="32"/>
          <w:lang w:eastAsia="zh-CN"/>
        </w:rPr>
        <w:t>十二</w:t>
      </w:r>
      <w:r>
        <w:rPr>
          <w:rFonts w:ascii="仿宋_GB2312" w:hAnsi="仿宋_GB2312" w:eastAsia="仿宋_GB2312"/>
          <w:b w:val="0"/>
          <w:sz w:val="32"/>
        </w:rPr>
        <w:t>）其他与申报有关的材料。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560" w:lineRule="exact"/>
        <w:ind w:firstLine="640" w:firstLineChars="200"/>
        <w:textAlignment w:val="auto"/>
      </w:pPr>
      <w:r>
        <w:rPr>
          <w:rFonts w:hint="eastAsia" w:ascii="黑体" w:hAnsi="黑体" w:eastAsia="黑体"/>
          <w:b w:val="0"/>
          <w:sz w:val="32"/>
          <w:lang w:eastAsia="zh-CN"/>
        </w:rPr>
        <w:t>五</w:t>
      </w:r>
      <w:r>
        <w:rPr>
          <w:rFonts w:ascii="黑体" w:hAnsi="黑体" w:eastAsia="黑体"/>
          <w:b w:val="0"/>
          <w:sz w:val="32"/>
        </w:rPr>
        <w:t>、申报管理要求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560" w:lineRule="exact"/>
        <w:ind w:firstLine="640"/>
        <w:textAlignment w:val="auto"/>
      </w:pPr>
      <w:r>
        <w:rPr>
          <w:rFonts w:ascii="仿宋_GB2312" w:hAnsi="仿宋_GB2312" w:eastAsia="仿宋_GB2312"/>
          <w:b w:val="0"/>
          <w:sz w:val="32"/>
        </w:rPr>
        <w:t>（一）申报单位应对申报材料的真实性、完整性、准确性负责，同步做好台账留存、原始凭证归集和后续核查配合工作。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560" w:lineRule="exact"/>
        <w:ind w:firstLine="640"/>
        <w:textAlignment w:val="auto"/>
      </w:pPr>
      <w:r>
        <w:rPr>
          <w:rFonts w:ascii="仿宋_GB2312" w:hAnsi="仿宋_GB2312" w:eastAsia="仿宋_GB2312"/>
          <w:b w:val="0"/>
          <w:sz w:val="32"/>
        </w:rPr>
        <w:t>（</w:t>
      </w:r>
      <w:r>
        <w:rPr>
          <w:rFonts w:hint="eastAsia"/>
          <w:b w:val="0"/>
          <w:sz w:val="32"/>
          <w:lang w:eastAsia="zh-CN"/>
        </w:rPr>
        <w:t>二</w:t>
      </w:r>
      <w:r>
        <w:rPr>
          <w:rFonts w:ascii="仿宋_GB2312" w:hAnsi="仿宋_GB2312" w:eastAsia="仿宋_GB2312"/>
          <w:b w:val="0"/>
          <w:sz w:val="32"/>
        </w:rPr>
        <w:t>）西城园管委会（区科委）可根据工作需要开展材料审核、现场核查、专家评审、部门征询、公示及绩效跟踪，发现弄虚作假、严重失信、违法违规等情形的，依法依规予以处理。</w:t>
      </w:r>
    </w:p>
    <w:sectPr>
      <w:pgSz w:w="12240" w:h="15840"/>
      <w:pgMar w:top="1587" w:right="1531" w:bottom="1474" w:left="153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5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480FF5"/>
    <w:rsid w:val="069F2F09"/>
    <w:rsid w:val="0B1F6C03"/>
    <w:rsid w:val="0BB53D0F"/>
    <w:rsid w:val="1D816E07"/>
    <w:rsid w:val="22363CA9"/>
    <w:rsid w:val="2AFD2B9A"/>
    <w:rsid w:val="421E1A9F"/>
    <w:rsid w:val="429B2E5C"/>
    <w:rsid w:val="5BF81BDD"/>
    <w:rsid w:val="5F3274C0"/>
    <w:rsid w:val="613E6795"/>
    <w:rsid w:val="629A29C2"/>
    <w:rsid w:val="6B367A31"/>
    <w:rsid w:val="77BC2DDB"/>
    <w:rsid w:val="79144B24"/>
    <w:rsid w:val="79A0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="仿宋_GB2312" w:hAnsi="仿宋_GB2312" w:eastAsia="仿宋_GB2312" w:cstheme="minorBidi"/>
      <w:sz w:val="32"/>
      <w:szCs w:val="22"/>
      <w:lang w:val="en-US" w:eastAsia="en-US" w:bidi="ar-SA"/>
    </w:rPr>
  </w:style>
  <w:style w:type="paragraph" w:styleId="4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5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6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9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10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1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2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widowControl/>
      <w:spacing w:line="560" w:lineRule="exact"/>
      <w:ind w:firstLine="560"/>
      <w:jc w:val="left"/>
    </w:pPr>
    <w:rPr>
      <w:rFonts w:ascii="仿宋" w:hAnsi="仿宋" w:eastAsia="仿宋_GB2312" w:cs="仿宋"/>
      <w:kern w:val="0"/>
      <w:sz w:val="36"/>
      <w:szCs w:val="36"/>
    </w:rPr>
  </w:style>
  <w:style w:type="paragraph" w:styleId="3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3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4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5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7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8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Body Text"/>
    <w:basedOn w:val="1"/>
    <w:link w:val="145"/>
    <w:unhideWhenUsed/>
    <w:qFormat/>
    <w:uiPriority w:val="99"/>
    <w:pPr>
      <w:spacing w:after="120"/>
    </w:pPr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999999" w:themeFill="text1" w:themeFillTint="66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>
        <w:tblLayout w:type="fixed"/>
      </w:tblPr>
      <w:tcPr>
        <w:shd w:val="clear" w:color="auto" w:fill="B8CCE4" w:themeFill="accent1" w:themeFillTint="66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>
        <w:tblLayout w:type="fixed"/>
      </w:tblPr>
      <w:tcPr>
        <w:shd w:val="clear" w:color="auto" w:fill="E5B8B7" w:themeFill="accent2" w:themeFillTint="66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>
        <w:tblLayout w:type="fixed"/>
      </w:tblPr>
      <w:tcPr>
        <w:shd w:val="clear" w:color="auto" w:fill="D6E3BC" w:themeFill="accent3" w:themeFillTint="66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>
        <w:tblLayout w:type="fixed"/>
      </w:tblPr>
      <w:tcPr>
        <w:shd w:val="clear" w:color="auto" w:fill="CCC0D9" w:themeFill="accent4" w:themeFillTint="66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>
        <w:tblLayout w:type="fixed"/>
      </w:tblPr>
      <w:tcPr>
        <w:shd w:val="clear" w:color="auto" w:fill="B6DDE8" w:themeFill="accent5" w:themeFillTint="66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>
        <w:tblLayout w:type="fixed"/>
      </w:tblPr>
      <w:tcPr>
        <w:shd w:val="clear" w:color="auto" w:fill="FBD4B4" w:themeFill="accent6" w:themeFillTint="66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>
        <w:tblLayout w:type="fixed"/>
      </w:tbl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>
        <w:tblLayout w:type="fixed"/>
      </w:tbl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>
        <w:tblLayout w:type="fixed"/>
      </w:tbl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>
        <w:tblLayout w:type="fixed"/>
      </w:tbl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>
        <w:tblLayout w:type="fixed"/>
      </w:tbl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>
        <w:tblLayout w:type="fixed"/>
      </w:tbl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>
        <w:tblLayout w:type="fixed"/>
      </w:tbl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6"/>
    <w:qFormat/>
    <w:uiPriority w:val="99"/>
  </w:style>
  <w:style w:type="character" w:customStyle="1" w:styleId="137">
    <w:name w:val="Footer Char"/>
    <w:basedOn w:val="133"/>
    <w:link w:val="25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link w:val="6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20"/>
    <w:qFormat/>
    <w:uiPriority w:val="99"/>
  </w:style>
  <w:style w:type="character" w:customStyle="1" w:styleId="146">
    <w:name w:val="Body Text 2 Char"/>
    <w:basedOn w:val="133"/>
    <w:link w:val="29"/>
    <w:qFormat/>
    <w:uiPriority w:val="99"/>
  </w:style>
  <w:style w:type="character" w:customStyle="1" w:styleId="147">
    <w:name w:val="Body Text 3 Char"/>
    <w:basedOn w:val="133"/>
    <w:link w:val="18"/>
    <w:qFormat/>
    <w:uiPriority w:val="99"/>
    <w:rPr>
      <w:sz w:val="16"/>
      <w:szCs w:val="16"/>
    </w:rPr>
  </w:style>
  <w:style w:type="character" w:customStyle="1" w:styleId="148">
    <w:name w:val="Macro Text Char"/>
    <w:basedOn w:val="133"/>
    <w:link w:val="3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link w:val="7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link w:val="8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link w:val="11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link w:val="1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4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LiuH</cp:lastModifiedBy>
  <dcterms:modified xsi:type="dcterms:W3CDTF">2026-08-25T01:34:05Z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