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280"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北京市西城区科技企业孵化器</w:t>
      </w:r>
    </w:p>
    <w:p>
      <w:pPr>
        <w:keepNext w:val="0"/>
        <w:keepLines w:val="0"/>
        <w:pageBreakBefore w:val="0"/>
        <w:widowControl/>
        <w:kinsoku/>
        <w:wordWrap/>
        <w:overflowPunct/>
        <w:topLinePunct w:val="0"/>
        <w:autoSpaceDE/>
        <w:autoSpaceDN/>
        <w:bidi w:val="0"/>
        <w:adjustRightInd/>
        <w:snapToGrid/>
        <w:spacing w:after="280"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认定、评价及支持政策兑现指南</w:t>
      </w:r>
    </w:p>
    <w:p>
      <w:pPr>
        <w:keepNext w:val="0"/>
        <w:keepLines w:val="0"/>
        <w:pageBreakBefore w:val="0"/>
        <w:widowControl/>
        <w:kinsoku/>
        <w:wordWrap/>
        <w:overflowPunct/>
        <w:topLinePunct w:val="0"/>
        <w:autoSpaceDE/>
        <w:autoSpaceDN/>
        <w:bidi w:val="0"/>
        <w:adjustRightInd/>
        <w:snapToGrid/>
        <w:spacing w:after="80"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楷体_GB2312" w:hAnsi="楷体_GB2312" w:eastAsia="楷体_GB2312" w:cs="楷体_GB2312"/>
          <w:b w:val="0"/>
          <w:sz w:val="32"/>
          <w:szCs w:val="32"/>
          <w:lang w:eastAsia="zh-CN"/>
        </w:rPr>
        <w:t>第十一条至第十四条</w:t>
      </w:r>
      <w:r>
        <w:rPr>
          <w:rFonts w:hint="eastAsia" w:ascii="楷体_GB2312" w:hAnsi="楷体_GB2312" w:eastAsia="楷体_GB2312" w:cs="楷体_GB2312"/>
          <w:b w:val="0"/>
          <w:sz w:val="32"/>
          <w:szCs w:val="32"/>
          <w:lang w:val="en-US" w:eastAsia="zh-CN"/>
        </w:rPr>
        <w:t xml:space="preserve"> </w:t>
      </w:r>
      <w:r>
        <w:rPr>
          <w:rFonts w:hint="eastAsia" w:ascii="楷体_GB2312" w:hAnsi="楷体_GB2312" w:eastAsia="楷体_GB2312" w:cs="楷体_GB2312"/>
          <w:b w:val="0"/>
          <w:sz w:val="32"/>
          <w:szCs w:val="32"/>
          <w:lang w:eastAsia="zh-CN"/>
        </w:rPr>
        <w:t>动态评价与增值孵化服务支持部分</w:t>
      </w:r>
    </w:p>
    <w:p>
      <w:pPr>
        <w:keepNext w:val="0"/>
        <w:keepLines w:val="0"/>
        <w:pageBreakBefore w:val="0"/>
        <w:widowControl/>
        <w:kinsoku/>
        <w:wordWrap/>
        <w:overflowPunct/>
        <w:topLinePunct w:val="0"/>
        <w:autoSpaceDE/>
        <w:autoSpaceDN/>
        <w:bidi w:val="0"/>
        <w:adjustRightInd/>
        <w:snapToGrid/>
        <w:spacing w:after="80" w:line="560" w:lineRule="exact"/>
        <w:ind w:firstLine="640"/>
        <w:textAlignment w:val="auto"/>
        <w:rPr>
          <w:rFonts w:ascii="仿宋_GB2312" w:hAnsi="仿宋_GB2312" w:eastAsia="仿宋_GB2312"/>
          <w:b w:val="0"/>
          <w:sz w:val="32"/>
        </w:rPr>
      </w:pPr>
    </w:p>
    <w:p>
      <w:pPr>
        <w:keepNext w:val="0"/>
        <w:keepLines w:val="0"/>
        <w:pageBreakBefore w:val="0"/>
        <w:widowControl/>
        <w:kinsoku/>
        <w:wordWrap/>
        <w:overflowPunct/>
        <w:topLinePunct w:val="0"/>
        <w:autoSpaceDE/>
        <w:autoSpaceDN/>
        <w:bidi w:val="0"/>
        <w:adjustRightInd/>
        <w:snapToGrid/>
        <w:spacing w:before="200" w:after="120" w:line="560" w:lineRule="exact"/>
        <w:ind w:firstLine="640" w:firstLineChars="200"/>
        <w:textAlignment w:val="auto"/>
        <w:rPr>
          <w:rFonts w:ascii="仿宋_GB2312" w:hAnsi="仿宋_GB2312" w:eastAsia="仿宋_GB2312"/>
          <w:b w:val="0"/>
          <w:sz w:val="32"/>
        </w:rPr>
      </w:pPr>
      <w:r>
        <w:rPr>
          <w:rFonts w:ascii="仿宋_GB2312" w:hAnsi="仿宋_GB2312" w:eastAsia="仿宋_GB2312"/>
          <w:b w:val="0"/>
          <w:sz w:val="32"/>
        </w:rPr>
        <w:t>本指南适用于</w:t>
      </w:r>
      <w:r>
        <w:rPr>
          <w:rFonts w:hint="eastAsia"/>
          <w:b w:val="0"/>
          <w:sz w:val="32"/>
          <w:lang w:eastAsia="zh-CN"/>
        </w:rPr>
        <w:t>在</w:t>
      </w:r>
      <w:r>
        <w:rPr>
          <w:rFonts w:ascii="仿宋_GB2312" w:hAnsi="仿宋_GB2312" w:eastAsia="仿宋_GB2312"/>
          <w:b w:val="0"/>
          <w:sz w:val="32"/>
        </w:rPr>
        <w:t>西城区规范经营、符合区域功能定位和产业发展方向的科技企业孵化器运营主体。已认定</w:t>
      </w:r>
      <w:r>
        <w:rPr>
          <w:rFonts w:hint="eastAsia"/>
          <w:b w:val="0"/>
          <w:sz w:val="32"/>
          <w:lang w:eastAsia="zh-CN"/>
        </w:rPr>
        <w:t>的</w:t>
      </w:r>
      <w:r>
        <w:rPr>
          <w:rFonts w:ascii="仿宋_GB2312" w:hAnsi="仿宋_GB2312" w:eastAsia="仿宋_GB2312"/>
          <w:b w:val="0"/>
          <w:sz w:val="32"/>
        </w:rPr>
        <w:t>区级科技企业孵化器应按要求参加年度复核和动态评价，未通过复核或评价不合格的，按照政策规定影响相关资金支持；连续两年评价结果为不合格的，按程序取消区级科技企业孵化器资格。第十二条至第十四条增值孵化服务支持</w:t>
      </w:r>
      <w:r>
        <w:rPr>
          <w:rFonts w:hint="eastAsia"/>
          <w:b w:val="0"/>
          <w:sz w:val="32"/>
          <w:lang w:val="en-US" w:eastAsia="zh-CN"/>
        </w:rPr>
        <w:t>需</w:t>
      </w:r>
      <w:r>
        <w:rPr>
          <w:rFonts w:ascii="仿宋_GB2312" w:hAnsi="仿宋_GB2312" w:eastAsia="仿宋_GB2312"/>
          <w:b w:val="0"/>
          <w:sz w:val="32"/>
        </w:rPr>
        <w:t>与动态评价支持统筹申报。</w:t>
      </w:r>
    </w:p>
    <w:p>
      <w:pPr>
        <w:keepNext w:val="0"/>
        <w:keepLines w:val="0"/>
        <w:pageBreakBefore w:val="0"/>
        <w:widowControl/>
        <w:kinsoku/>
        <w:wordWrap/>
        <w:overflowPunct/>
        <w:topLinePunct w:val="0"/>
        <w:autoSpaceDE/>
        <w:autoSpaceDN/>
        <w:bidi w:val="0"/>
        <w:adjustRightInd/>
        <w:snapToGrid/>
        <w:spacing w:before="200" w:after="120" w:line="560" w:lineRule="exact"/>
        <w:ind w:firstLine="640" w:firstLineChars="200"/>
        <w:textAlignment w:val="auto"/>
        <w:rPr>
          <w:rFonts w:hint="eastAsia" w:ascii="黑体" w:hAnsi="黑体" w:eastAsia="黑体"/>
          <w:b w:val="0"/>
          <w:sz w:val="32"/>
          <w:lang w:eastAsia="zh-CN"/>
        </w:rPr>
      </w:pPr>
    </w:p>
    <w:p>
      <w:pPr>
        <w:keepNext w:val="0"/>
        <w:keepLines w:val="0"/>
        <w:pageBreakBefore w:val="0"/>
        <w:widowControl/>
        <w:kinsoku/>
        <w:wordWrap/>
        <w:overflowPunct/>
        <w:topLinePunct w:val="0"/>
        <w:autoSpaceDE/>
        <w:autoSpaceDN/>
        <w:bidi w:val="0"/>
        <w:adjustRightInd/>
        <w:snapToGrid/>
        <w:spacing w:before="200" w:after="120" w:line="560" w:lineRule="exact"/>
        <w:ind w:firstLine="640" w:firstLineChars="200"/>
        <w:textAlignment w:val="auto"/>
      </w:pPr>
      <w:r>
        <w:rPr>
          <w:rFonts w:hint="eastAsia" w:ascii="黑体" w:hAnsi="黑体" w:eastAsia="黑体"/>
          <w:b w:val="0"/>
          <w:sz w:val="32"/>
          <w:lang w:eastAsia="zh-CN"/>
        </w:rPr>
        <w:t>一</w:t>
      </w:r>
      <w:r>
        <w:rPr>
          <w:rFonts w:ascii="黑体" w:hAnsi="黑体" w:eastAsia="黑体"/>
          <w:b w:val="0"/>
          <w:sz w:val="32"/>
        </w:rPr>
        <w:t>、共性申报材料</w:t>
      </w:r>
    </w:p>
    <w:p>
      <w:pPr>
        <w:keepNext w:val="0"/>
        <w:keepLines w:val="0"/>
        <w:pageBreakBefore w:val="0"/>
        <w:widowControl/>
        <w:kinsoku/>
        <w:wordWrap/>
        <w:overflowPunct/>
        <w:topLinePunct w:val="0"/>
        <w:autoSpaceDE/>
        <w:autoSpaceDN/>
        <w:bidi w:val="0"/>
        <w:adjustRightInd/>
        <w:snapToGrid/>
        <w:spacing w:after="80" w:line="560" w:lineRule="exact"/>
        <w:ind w:firstLine="640" w:firstLineChars="200"/>
        <w:textAlignment w:val="auto"/>
      </w:pPr>
      <w:r>
        <w:rPr>
          <w:rFonts w:ascii="仿宋_GB2312" w:hAnsi="仿宋_GB2312" w:eastAsia="仿宋_GB2312"/>
          <w:b w:val="0"/>
          <w:sz w:val="32"/>
        </w:rPr>
        <w:t>申报本指南各项政策支持时，申报单位原则上应先提交以下共性材料；涉及多个条款同步申报的，共性材料可统一提交，不再重复装订。</w:t>
      </w:r>
    </w:p>
    <w:p>
      <w:pPr>
        <w:keepNext w:val="0"/>
        <w:keepLines w:val="0"/>
        <w:pageBreakBefore w:val="0"/>
        <w:widowControl/>
        <w:kinsoku/>
        <w:wordWrap/>
        <w:overflowPunct/>
        <w:topLinePunct w:val="0"/>
        <w:autoSpaceDE/>
        <w:autoSpaceDN/>
        <w:bidi w:val="0"/>
        <w:adjustRightInd/>
        <w:snapToGrid/>
        <w:spacing w:after="80" w:line="560" w:lineRule="exact"/>
        <w:ind w:firstLine="640" w:firstLineChars="200"/>
        <w:textAlignment w:val="auto"/>
        <w:rPr>
          <w:rFonts w:hint="eastAsia" w:eastAsia="仿宋_GB2312"/>
          <w:lang w:eastAsia="zh-CN"/>
        </w:rPr>
      </w:pPr>
      <w:r>
        <w:rPr>
          <w:rFonts w:ascii="仿宋_GB2312" w:hAnsi="仿宋_GB2312" w:eastAsia="仿宋_GB2312"/>
          <w:b w:val="0"/>
          <w:sz w:val="32"/>
        </w:rPr>
        <w:t>（一）年度政策兑现申请书。应载明申报单位基本情况、申报条款、申请支持事项、申请金额、申报依据、真实性承诺等内容</w:t>
      </w:r>
      <w:r>
        <w:rPr>
          <w:rFonts w:hint="eastAsia"/>
          <w:b w:val="0"/>
          <w:sz w:val="32"/>
          <w:lang w:eastAsia="zh-CN"/>
        </w:rPr>
        <w:t>；</w:t>
      </w:r>
    </w:p>
    <w:p>
      <w:pPr>
        <w:keepNext w:val="0"/>
        <w:keepLines w:val="0"/>
        <w:pageBreakBefore w:val="0"/>
        <w:widowControl/>
        <w:kinsoku/>
        <w:wordWrap/>
        <w:overflowPunct/>
        <w:topLinePunct w:val="0"/>
        <w:autoSpaceDE/>
        <w:autoSpaceDN/>
        <w:bidi w:val="0"/>
        <w:adjustRightInd/>
        <w:snapToGrid/>
        <w:spacing w:after="80" w:line="560" w:lineRule="exact"/>
        <w:ind w:firstLine="640" w:firstLineChars="200"/>
        <w:textAlignment w:val="auto"/>
        <w:rPr>
          <w:rFonts w:hint="eastAsia" w:eastAsia="仿宋_GB2312"/>
          <w:lang w:eastAsia="zh-CN"/>
        </w:rPr>
      </w:pPr>
      <w:r>
        <w:rPr>
          <w:rFonts w:ascii="仿宋_GB2312" w:hAnsi="仿宋_GB2312" w:eastAsia="仿宋_GB2312"/>
          <w:b w:val="0"/>
          <w:sz w:val="32"/>
        </w:rPr>
        <w:t>（二）申报单位主体资格证明及在西城区规范经营证明材料。包括营业执照、办公或经营场所证明、纳税或统计关系、信用情况等能够证明申报主体依法依规在西城区规范经营的材料</w:t>
      </w:r>
      <w:r>
        <w:rPr>
          <w:rFonts w:hint="eastAsia"/>
          <w:b w:val="0"/>
          <w:sz w:val="32"/>
          <w:lang w:eastAsia="zh-CN"/>
        </w:rPr>
        <w:t>；</w:t>
      </w:r>
    </w:p>
    <w:p>
      <w:pPr>
        <w:keepNext w:val="0"/>
        <w:keepLines w:val="0"/>
        <w:pageBreakBefore w:val="0"/>
        <w:widowControl/>
        <w:kinsoku/>
        <w:wordWrap/>
        <w:overflowPunct/>
        <w:topLinePunct w:val="0"/>
        <w:autoSpaceDE/>
        <w:autoSpaceDN/>
        <w:bidi w:val="0"/>
        <w:adjustRightInd/>
        <w:snapToGrid/>
        <w:spacing w:before="200" w:after="120" w:line="560" w:lineRule="exact"/>
        <w:ind w:firstLine="640" w:firstLineChars="200"/>
        <w:textAlignment w:val="auto"/>
        <w:rPr>
          <w:rFonts w:hint="eastAsia" w:ascii="仿宋_GB2312" w:hAnsi="仿宋_GB2312" w:eastAsia="仿宋_GB2312"/>
          <w:b w:val="0"/>
          <w:sz w:val="32"/>
          <w:lang w:eastAsia="zh-CN"/>
        </w:rPr>
      </w:pPr>
      <w:r>
        <w:rPr>
          <w:rFonts w:ascii="仿宋_GB2312" w:hAnsi="仿宋_GB2312" w:eastAsia="仿宋_GB2312"/>
          <w:b w:val="0"/>
          <w:sz w:val="32"/>
        </w:rPr>
        <w:t>（三）</w:t>
      </w:r>
      <w:r>
        <w:rPr>
          <w:rFonts w:hint="eastAsia"/>
          <w:b w:val="0"/>
          <w:sz w:val="32"/>
          <w:lang w:eastAsia="zh-CN"/>
        </w:rPr>
        <w:t>申报年度和上年度</w:t>
      </w:r>
      <w:r>
        <w:rPr>
          <w:rFonts w:ascii="仿宋_GB2312" w:hAnsi="仿宋_GB2312" w:eastAsia="仿宋_GB2312"/>
          <w:b w:val="0"/>
          <w:sz w:val="32"/>
        </w:rPr>
        <w:t>在孵企业清单。应包括企业名称、统一社会信用代码、注册地址、实际经营地址、所属行业、入孵时间、孵化协议期限、是否科技型企业、是否科技型中小企业、是否创新型中小企业、是否国家高新技术企业等内容，并根据申报事项补充企业变化</w:t>
      </w:r>
      <w:r>
        <w:rPr>
          <w:rFonts w:hint="eastAsia"/>
          <w:b w:val="0"/>
          <w:sz w:val="32"/>
          <w:lang w:eastAsia="zh-CN"/>
        </w:rPr>
        <w:t>（存量、新增、迁出、注销）</w:t>
      </w:r>
      <w:r>
        <w:rPr>
          <w:rFonts w:ascii="仿宋_GB2312" w:hAnsi="仿宋_GB2312" w:eastAsia="仿宋_GB2312"/>
          <w:b w:val="0"/>
          <w:sz w:val="32"/>
        </w:rPr>
        <w:t>、成长成果、毕业情况等说明</w:t>
      </w:r>
      <w:r>
        <w:rPr>
          <w:rFonts w:hint="eastAsia"/>
          <w:b w:val="0"/>
          <w:sz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s="仿宋_GB2312"/>
          <w:sz w:val="32"/>
          <w:szCs w:val="32"/>
          <w:lang w:eastAsia="zh-CN"/>
        </w:rPr>
      </w:pPr>
      <w:r>
        <w:rPr>
          <w:rFonts w:hint="eastAsia" w:ascii="仿宋_GB2312" w:hAnsi="仿宋_GB2312" w:eastAsia="仿宋_GB2312" w:cs="仿宋_GB2312"/>
          <w:sz w:val="32"/>
          <w:szCs w:val="32"/>
          <w:lang w:eastAsia="zh-CN"/>
        </w:rPr>
        <w:t>（</w:t>
      </w:r>
      <w:r>
        <w:rPr>
          <w:rFonts w:hint="eastAsia" w:cs="仿宋_GB2312"/>
          <w:sz w:val="32"/>
          <w:szCs w:val="32"/>
          <w:lang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企业开户许可证复印件或基本账户信息</w:t>
      </w:r>
      <w:r>
        <w:rPr>
          <w:rFonts w:hint="eastAsia"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b w:val="0"/>
          <w:sz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 w:val="0"/>
          <w:sz w:val="32"/>
        </w:rPr>
      </w:pPr>
      <w:r>
        <w:rPr>
          <w:rFonts w:hint="eastAsia" w:ascii="黑体" w:hAnsi="黑体" w:eastAsia="黑体"/>
          <w:b w:val="0"/>
          <w:sz w:val="32"/>
          <w:lang w:eastAsia="zh-CN"/>
        </w:rPr>
        <w:t>二、第十一条：</w:t>
      </w:r>
      <w:r>
        <w:rPr>
          <w:rFonts w:hint="eastAsia" w:ascii="黑体" w:hAnsi="黑体" w:eastAsia="黑体"/>
          <w:b w:val="0"/>
          <w:sz w:val="32"/>
        </w:rPr>
        <w:t>区级科技企业孵化器动态评价支持</w:t>
      </w:r>
    </w:p>
    <w:p>
      <w:pPr>
        <w:keepNext w:val="0"/>
        <w:keepLines w:val="0"/>
        <w:pageBreakBefore w:val="0"/>
        <w:widowControl/>
        <w:kinsoku/>
        <w:wordWrap/>
        <w:overflowPunct/>
        <w:topLinePunct w:val="0"/>
        <w:autoSpaceDE/>
        <w:autoSpaceDN/>
        <w:bidi w:val="0"/>
        <w:adjustRightInd/>
        <w:snapToGrid/>
        <w:spacing w:before="120" w:after="80" w:line="560" w:lineRule="exact"/>
        <w:ind w:firstLine="640" w:firstLineChars="200"/>
        <w:textAlignment w:val="auto"/>
        <w:rPr>
          <w:rFonts w:hint="eastAsia" w:ascii="楷体_GB2312" w:hAnsi="楷体_GB2312" w:eastAsia="楷体_GB2312" w:cs="楷体_GB2312"/>
          <w:b w:val="0"/>
          <w:bCs/>
        </w:rPr>
      </w:pPr>
      <w:r>
        <w:rPr>
          <w:rFonts w:hint="eastAsia" w:ascii="楷体_GB2312" w:hAnsi="楷体_GB2312" w:eastAsia="楷体_GB2312" w:cs="楷体_GB2312"/>
          <w:b w:val="0"/>
          <w:bCs/>
          <w:sz w:val="32"/>
        </w:rPr>
        <w:t>（一）支持对象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申报主体条件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申报单位应为已认定的区级科技企业孵化器，且按要求参加年度复核，持续符合区级科技企业孵化器基本条件。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2.规范运营条件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孵化器运营主体应依法依规经营，运营管理制度健全，财务管理规范，未发生严重失信、偷税漏税、弄虚作假、重大安全责任事故等情形。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3.评价申报条件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孵化器应按要求报送</w:t>
      </w:r>
      <w:r>
        <w:rPr>
          <w:rFonts w:hint="eastAsia" w:ascii="仿宋_GB2312" w:hAnsi="仿宋_GB2312" w:eastAsia="仿宋_GB2312" w:cs="仿宋_GB2312"/>
          <w:i w:val="0"/>
          <w:caps w:val="0"/>
          <w:color w:val="auto"/>
          <w:spacing w:val="0"/>
          <w:sz w:val="32"/>
          <w:szCs w:val="32"/>
          <w:lang w:val="en-US" w:eastAsia="zh-CN"/>
        </w:rPr>
        <w:t>科技企业梯度培育情况、孵化器质效提升情况、推动特色产业集聚情况、支持科技成果转化落地情况、优化营商环境情况</w:t>
      </w:r>
      <w:r>
        <w:rPr>
          <w:rFonts w:hint="eastAsia" w:ascii="仿宋_GB2312" w:hAnsi="仿宋_GB2312" w:eastAsia="仿宋_GB2312" w:cs="仿宋_GB2312"/>
          <w:i w:val="0"/>
          <w:caps w:val="0"/>
          <w:color w:val="auto"/>
          <w:spacing w:val="0"/>
          <w:sz w:val="32"/>
          <w:szCs w:val="32"/>
        </w:rPr>
        <w:t>等材料，并对填报数据和证明材料真实性负责</w:t>
      </w:r>
      <w:r>
        <w:rPr>
          <w:rFonts w:hint="eastAsia" w:ascii="仿宋_GB2312" w:hAnsi="仿宋_GB2312" w:eastAsia="仿宋_GB2312" w:cs="仿宋_GB2312"/>
          <w:i w:val="0"/>
          <w:caps w:val="0"/>
          <w:color w:val="auto"/>
          <w:spacing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4.绩效评价条件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孵化器应在区域企业集聚、企业高质量发展、园区平台建设、金融扶持能力、专业服务成效等方面具备相应基础，经综合评价达到优秀或合格档次。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5.持续管理条件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孵化器应接受西城园管委会（区科委）组织的材料审核、实地核查、专家评审和绩效跟踪。评价结果为不合格的，不予支持；连续两年评价结果为不合格的，按程序取消区级科技企业孵化器资格。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支持方式和金额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1.</w:t>
      </w:r>
      <w:r>
        <w:rPr>
          <w:rFonts w:hint="eastAsia" w:ascii="仿宋_GB2312" w:hAnsi="仿宋_GB2312" w:eastAsia="仿宋_GB2312" w:cs="仿宋_GB2312"/>
          <w:sz w:val="32"/>
          <w:szCs w:val="32"/>
        </w:rPr>
        <w:t xml:space="preserve">评价结果为 </w:t>
      </w:r>
      <w:r>
        <w:rPr>
          <w:rFonts w:hint="eastAsia" w:ascii="仿宋_GB2312" w:hAnsi="仿宋_GB2312" w:eastAsia="仿宋_GB2312" w:cs="仿宋_GB2312"/>
          <w:b/>
          <w:bCs/>
          <w:sz w:val="32"/>
          <w:szCs w:val="32"/>
        </w:rPr>
        <w:t>优秀</w:t>
      </w:r>
      <w:r>
        <w:rPr>
          <w:rFonts w:hint="eastAsia" w:ascii="仿宋_GB2312" w:hAnsi="仿宋_GB2312" w:eastAsia="仿宋_GB2312" w:cs="仿宋_GB2312"/>
          <w:sz w:val="32"/>
          <w:szCs w:val="32"/>
        </w:rPr>
        <w:t xml:space="preserve"> 的，最高给予 不超过 200 万元 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2.</w:t>
      </w:r>
      <w:r>
        <w:rPr>
          <w:rFonts w:hint="eastAsia" w:ascii="仿宋_GB2312" w:hAnsi="仿宋_GB2312" w:eastAsia="仿宋_GB2312" w:cs="仿宋_GB2312"/>
          <w:sz w:val="32"/>
          <w:szCs w:val="32"/>
        </w:rPr>
        <w:t xml:space="preserve">评价结果为 </w:t>
      </w:r>
      <w:r>
        <w:rPr>
          <w:rFonts w:hint="eastAsia" w:ascii="仿宋_GB2312" w:hAnsi="仿宋_GB2312" w:eastAsia="仿宋_GB2312" w:cs="仿宋_GB2312"/>
          <w:b/>
          <w:bCs/>
          <w:sz w:val="32"/>
          <w:szCs w:val="32"/>
        </w:rPr>
        <w:t>合格</w:t>
      </w:r>
      <w:r>
        <w:rPr>
          <w:rFonts w:hint="eastAsia" w:ascii="仿宋_GB2312" w:hAnsi="仿宋_GB2312" w:eastAsia="仿宋_GB2312" w:cs="仿宋_GB2312"/>
          <w:sz w:val="32"/>
          <w:szCs w:val="32"/>
        </w:rPr>
        <w:t xml:space="preserve"> 的，最高给予 不超过 100 万元 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3.</w:t>
      </w:r>
      <w:r>
        <w:rPr>
          <w:rFonts w:hint="eastAsia" w:ascii="仿宋_GB2312" w:hAnsi="仿宋_GB2312" w:eastAsia="仿宋_GB2312" w:cs="仿宋_GB2312"/>
          <w:sz w:val="32"/>
          <w:szCs w:val="32"/>
        </w:rPr>
        <w:t xml:space="preserve">评价结果为 </w:t>
      </w:r>
      <w:r>
        <w:rPr>
          <w:rFonts w:hint="eastAsia" w:ascii="仿宋_GB2312" w:hAnsi="仿宋_GB2312" w:eastAsia="仿宋_GB2312" w:cs="仿宋_GB2312"/>
          <w:b/>
          <w:bCs/>
          <w:sz w:val="32"/>
          <w:szCs w:val="32"/>
        </w:rPr>
        <w:t>不合格</w:t>
      </w:r>
      <w:r>
        <w:rPr>
          <w:rFonts w:hint="eastAsia" w:ascii="仿宋_GB2312" w:hAnsi="仿宋_GB2312" w:eastAsia="仿宋_GB2312" w:cs="仿宋_GB2312"/>
          <w:sz w:val="32"/>
          <w:szCs w:val="32"/>
        </w:rPr>
        <w:t xml:space="preserve"> 的，不予资金支持；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4.</w:t>
      </w:r>
      <w:r>
        <w:rPr>
          <w:rFonts w:hint="eastAsia" w:ascii="仿宋_GB2312" w:hAnsi="仿宋_GB2312" w:eastAsia="仿宋_GB2312" w:cs="仿宋_GB2312"/>
          <w:sz w:val="32"/>
          <w:szCs w:val="32"/>
        </w:rPr>
        <w:t>本办法第十二条至第十四条增值孵化服务支持</w:t>
      </w:r>
      <w:r>
        <w:rPr>
          <w:rFonts w:hint="eastAsia" w:cs="仿宋_GB2312"/>
          <w:sz w:val="32"/>
          <w:szCs w:val="32"/>
          <w:lang w:val="en-US" w:eastAsia="zh-CN"/>
        </w:rPr>
        <w:t>需与</w:t>
      </w:r>
      <w:r>
        <w:rPr>
          <w:rFonts w:hint="eastAsia" w:ascii="仿宋_GB2312" w:hAnsi="仿宋_GB2312" w:eastAsia="仿宋_GB2312" w:cs="仿宋_GB2312"/>
          <w:sz w:val="32"/>
          <w:szCs w:val="32"/>
        </w:rPr>
        <w:t>动态评价支持统筹申报，年度累计支持金额按照政策规定执行，最高累计支持金额不超过 1000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5.</w:t>
      </w:r>
      <w:r>
        <w:rPr>
          <w:rFonts w:hint="eastAsia" w:ascii="仿宋_GB2312" w:hAnsi="仿宋_GB2312" w:eastAsia="仿宋_GB2312" w:cs="仿宋_GB2312"/>
          <w:sz w:val="32"/>
          <w:szCs w:val="32"/>
        </w:rPr>
        <w:t>同一事项已获得区级同类资金支持的，原则上不重复支持。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（三）专项</w:t>
      </w:r>
      <w:r>
        <w:rPr>
          <w:rFonts w:hint="eastAsia" w:ascii="楷体_GB2312" w:hAnsi="楷体_GB2312" w:eastAsia="楷体_GB2312" w:cs="楷体_GB2312"/>
          <w:sz w:val="32"/>
          <w:szCs w:val="32"/>
        </w:rPr>
        <w:t>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1.</w:t>
      </w:r>
      <w:r>
        <w:rPr>
          <w:rFonts w:hint="eastAsia" w:ascii="仿宋_GB2312" w:hAnsi="仿宋_GB2312" w:eastAsia="仿宋_GB2312" w:cs="仿宋_GB2312"/>
          <w:sz w:val="32"/>
          <w:szCs w:val="32"/>
        </w:rPr>
        <w:t>孵化器年度运营报告，包括</w:t>
      </w:r>
      <w:r>
        <w:rPr>
          <w:rFonts w:hint="eastAsia" w:ascii="仿宋_GB2312" w:hAnsi="仿宋_GB2312" w:eastAsia="仿宋_GB2312" w:cs="仿宋_GB2312"/>
          <w:b w:val="0"/>
          <w:bCs w:val="0"/>
          <w:i w:val="0"/>
          <w:caps w:val="0"/>
          <w:color w:val="auto"/>
          <w:spacing w:val="0"/>
          <w:sz w:val="32"/>
          <w:szCs w:val="32"/>
          <w:lang w:val="en-US" w:eastAsia="zh-CN"/>
        </w:rPr>
        <w:t>企业培育、运营管理、服务台账、成果转化、营商环境优化</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sz w:val="32"/>
          <w:szCs w:val="32"/>
        </w:rPr>
        <w:t>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2.</w:t>
      </w:r>
      <w:r>
        <w:rPr>
          <w:rFonts w:hint="eastAsia" w:ascii="仿宋_GB2312" w:hAnsi="仿宋_GB2312" w:eastAsia="仿宋_GB2312" w:cs="仿宋_GB2312"/>
          <w:sz w:val="32"/>
          <w:szCs w:val="32"/>
          <w:lang w:eastAsia="zh-CN"/>
        </w:rPr>
        <w:t>在孵</w:t>
      </w:r>
      <w:r>
        <w:rPr>
          <w:rFonts w:hint="eastAsia" w:ascii="仿宋_GB2312" w:hAnsi="仿宋_GB2312" w:eastAsia="仿宋_GB2312" w:cs="仿宋_GB2312"/>
          <w:sz w:val="32"/>
          <w:szCs w:val="32"/>
        </w:rPr>
        <w:t>企业高质量发展证明材料，包括获得国家高新技术企业、专精特新、独角兽、潜在独角兽、上市、融资、知识产权、成果转化等相关材料；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3.</w:t>
      </w:r>
      <w:r>
        <w:rPr>
          <w:rFonts w:hint="eastAsia" w:ascii="仿宋_GB2312" w:hAnsi="仿宋_GB2312" w:eastAsia="仿宋_GB2312" w:cs="仿宋_GB2312"/>
          <w:sz w:val="32"/>
          <w:szCs w:val="32"/>
        </w:rPr>
        <w:t>金融扶持能力证明材料，包括金融机构合作协议、融资路演活动资料、企业获得贷款、授信、投资、担保、基金支持等证明材料；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4.</w:t>
      </w:r>
      <w:r>
        <w:rPr>
          <w:rFonts w:hint="eastAsia" w:ascii="仿宋_GB2312" w:hAnsi="仿宋_GB2312" w:eastAsia="仿宋_GB2312" w:cs="仿宋_GB2312"/>
          <w:sz w:val="32"/>
          <w:szCs w:val="32"/>
          <w:lang w:eastAsia="zh-CN"/>
        </w:rPr>
        <w:t>其他与申报有关的材料。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黑体" w:hAnsi="黑体" w:eastAsia="黑体" w:cs="黑体"/>
          <w:sz w:val="32"/>
          <w:szCs w:val="32"/>
          <w:lang w:eastAsia="zh-CN"/>
        </w:rPr>
        <w:t>三、第十二条：</w:t>
      </w:r>
      <w:r>
        <w:rPr>
          <w:rFonts w:hint="eastAsia" w:ascii="黑体" w:hAnsi="黑体" w:eastAsia="黑体" w:cs="黑体"/>
          <w:b w:val="0"/>
          <w:spacing w:val="0"/>
          <w:sz w:val="32"/>
          <w:szCs w:val="32"/>
        </w:rPr>
        <w:t>孵化服务能力提升</w:t>
      </w:r>
      <w:r>
        <w:rPr>
          <w:rFonts w:hint="eastAsia" w:ascii="黑体" w:hAnsi="黑体" w:eastAsia="黑体" w:cs="黑体"/>
          <w:b w:val="0"/>
          <w:spacing w:val="0"/>
          <w:sz w:val="32"/>
          <w:szCs w:val="32"/>
          <w:lang w:eastAsia="zh-CN"/>
        </w:rPr>
        <w:t>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（一）支持对象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1.</w:t>
      </w:r>
      <w:r>
        <w:rPr>
          <w:rFonts w:hint="eastAsia" w:ascii="仿宋_GB2312" w:hAnsi="仿宋_GB2312" w:eastAsia="仿宋_GB2312" w:cs="仿宋_GB2312"/>
          <w:sz w:val="32"/>
          <w:szCs w:val="32"/>
          <w:lang w:eastAsia="zh-CN"/>
        </w:rPr>
        <w:t>申报</w:t>
      </w:r>
      <w:r>
        <w:rPr>
          <w:rFonts w:hint="eastAsia" w:ascii="仿宋_GB2312" w:hAnsi="仿宋_GB2312" w:eastAsia="仿宋_GB2312" w:cs="仿宋_GB2312"/>
          <w:sz w:val="32"/>
          <w:szCs w:val="32"/>
        </w:rPr>
        <w:t>主体条件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D1C28"/>
          <w:spacing w:val="0"/>
          <w:sz w:val="32"/>
          <w:szCs w:val="32"/>
        </w:rPr>
        <w:t>申报单位应为已认定的区级科技企业孵化器，且在西城区规范经营，运营管理状况良好，持续开展科技企业孵化服务。</w:t>
      </w:r>
      <w:r>
        <w:rPr>
          <w:rFonts w:hint="eastAsia" w:ascii="仿宋_GB2312" w:hAnsi="仿宋_GB2312" w:eastAsia="仿宋_GB2312" w:cs="仿宋_GB2312"/>
          <w:b w:val="0"/>
          <w:bCs w:val="0"/>
          <w:i w:val="0"/>
          <w:caps w:val="0"/>
          <w:color w:val="0D1C28"/>
          <w:spacing w:val="0"/>
          <w:sz w:val="32"/>
          <w:szCs w:val="32"/>
          <w:lang w:val="en-US" w:eastAsia="zh-CN"/>
        </w:rPr>
        <w:t>未通过区级科技企业孵化器认定复核或动态评价不合格的，按照政策规定不予资金支持。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2.</w:t>
      </w:r>
      <w:r>
        <w:rPr>
          <w:rFonts w:hint="eastAsia" w:ascii="仿宋_GB2312" w:hAnsi="仿宋_GB2312" w:eastAsia="仿宋_GB2312" w:cs="仿宋_GB2312"/>
          <w:sz w:val="32"/>
          <w:szCs w:val="32"/>
          <w:lang w:eastAsia="zh-CN"/>
        </w:rPr>
        <w:t>建设方向条件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孵化器应符合西城区产业发展导向，围绕科技服务业、信息传输、软件和信息技术服务业、金融科技、人工智能、文化科技等重点方向，提升专业化孵化服务能力。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3.</w:t>
      </w:r>
      <w:r>
        <w:rPr>
          <w:rFonts w:hint="eastAsia" w:ascii="仿宋_GB2312" w:hAnsi="仿宋_GB2312" w:eastAsia="仿宋_GB2312" w:cs="仿宋_GB2312"/>
          <w:sz w:val="32"/>
          <w:szCs w:val="32"/>
          <w:lang w:eastAsia="zh-CN"/>
        </w:rPr>
        <w:t>能力提升条件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孵化器应对标国家部委或北京市科技企业孵化器相关标准，在专业团队建设、平台服务建设、企业培育机制、投融资服务、成果转化服务、国际化服务、品牌活动组织等方面开展系统性能力提升。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4.</w:t>
      </w:r>
      <w:r>
        <w:rPr>
          <w:rFonts w:hint="eastAsia" w:ascii="仿宋_GB2312" w:hAnsi="仿宋_GB2312" w:eastAsia="仿宋_GB2312" w:cs="仿宋_GB2312"/>
          <w:sz w:val="32"/>
          <w:szCs w:val="32"/>
          <w:lang w:eastAsia="zh-CN"/>
        </w:rPr>
        <w:t>认定结果条件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申报单位应在政策有效期内首次通过国家部委卓越级孵化器、北京市标杆孵化器、国家部委标准级孵化器、市级科技部门认定的科技企业孵化器等相关认定，或取得相应建设、培育、评价结果。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5.</w:t>
      </w:r>
      <w:r>
        <w:rPr>
          <w:rFonts w:hint="eastAsia" w:ascii="仿宋_GB2312" w:hAnsi="仿宋_GB2312" w:eastAsia="仿宋_GB2312" w:cs="仿宋_GB2312"/>
          <w:sz w:val="32"/>
          <w:szCs w:val="32"/>
          <w:lang w:eastAsia="zh-CN"/>
        </w:rPr>
        <w:t>绩效导向条件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申报单位应能够提供能力提升建设投入、服务体系完善、企业培育成效、示范带动作用等材料，证明相关认定结果与孵化器实际能力提升具有对应关系。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6.</w:t>
      </w:r>
      <w:r>
        <w:rPr>
          <w:rFonts w:hint="eastAsia" w:ascii="仿宋_GB2312" w:hAnsi="仿宋_GB2312" w:eastAsia="仿宋_GB2312" w:cs="仿宋_GB2312"/>
          <w:sz w:val="32"/>
          <w:szCs w:val="32"/>
          <w:lang w:eastAsia="zh-CN"/>
        </w:rPr>
        <w:t>不重复支持条件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同一孵化器同一年度符合本条多项支持条件的，按照“就高不重复”原则予以支持。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支持方式和金额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1.</w:t>
      </w:r>
      <w:r>
        <w:rPr>
          <w:rFonts w:hint="eastAsia" w:ascii="仿宋_GB2312" w:hAnsi="仿宋_GB2312" w:eastAsia="仿宋_GB2312" w:cs="仿宋_GB2312"/>
          <w:sz w:val="32"/>
          <w:szCs w:val="32"/>
        </w:rPr>
        <w:t>对标国家部委卓越级孵化器标准开展建设的，自孵化器首次通过国家部委相关认定年度开始，政策有效期内可分年度给予支持，每年最高不超过 300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2.</w:t>
      </w:r>
      <w:r>
        <w:rPr>
          <w:rFonts w:hint="eastAsia" w:ascii="仿宋_GB2312" w:hAnsi="仿宋_GB2312" w:eastAsia="仿宋_GB2312" w:cs="仿宋_GB2312"/>
          <w:sz w:val="32"/>
          <w:szCs w:val="32"/>
        </w:rPr>
        <w:t>对标北京市标杆孵化器标准开展建设的，自孵化器首次通过北京市相关认定年度开始，政策有效期内可分年度给予支持，每年最高不超过 300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3.</w:t>
      </w:r>
      <w:r>
        <w:rPr>
          <w:rFonts w:hint="eastAsia" w:ascii="仿宋_GB2312" w:hAnsi="仿宋_GB2312" w:eastAsia="仿宋_GB2312" w:cs="仿宋_GB2312"/>
          <w:sz w:val="32"/>
          <w:szCs w:val="32"/>
        </w:rPr>
        <w:t>围绕国家部委标准级孵化器要求开展建设的，自孵化器首次通过国家部委相关认定年度开始给予支持，最高不超过 100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4.</w:t>
      </w:r>
      <w:r>
        <w:rPr>
          <w:rFonts w:hint="eastAsia" w:ascii="仿宋_GB2312" w:hAnsi="仿宋_GB2312" w:eastAsia="仿宋_GB2312" w:cs="仿宋_GB2312"/>
          <w:sz w:val="32"/>
          <w:szCs w:val="32"/>
        </w:rPr>
        <w:t>围绕市级科技部门认定的科技企业孵化器相关标准开展建设的，自孵化器首次通过北京市相关认定年度开始给予支持，最高不超过 50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cs="仿宋_GB2312"/>
          <w:sz w:val="32"/>
          <w:szCs w:val="32"/>
          <w:lang w:val="en-US" w:eastAsia="zh-CN"/>
        </w:rPr>
        <w:t>5.</w:t>
      </w:r>
      <w:r>
        <w:rPr>
          <w:rFonts w:hint="eastAsia" w:ascii="仿宋_GB2312" w:hAnsi="仿宋_GB2312" w:eastAsia="仿宋_GB2312" w:cs="仿宋_GB2312"/>
          <w:sz w:val="32"/>
          <w:szCs w:val="32"/>
        </w:rPr>
        <w:t>同一年度同时符合多个层级支持条件的，按照最高标准给予支持，不重复享受。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sz w:val="32"/>
          <w:szCs w:val="32"/>
          <w:lang w:val="en-US" w:eastAsia="zh-CN"/>
        </w:rPr>
        <w:t>（三）专项</w:t>
      </w:r>
      <w:r>
        <w:rPr>
          <w:rFonts w:hint="eastAsia" w:ascii="楷体_GB2312" w:hAnsi="楷体_GB2312" w:eastAsia="楷体_GB2312" w:cs="楷体_GB2312"/>
          <w:sz w:val="32"/>
          <w:szCs w:val="32"/>
        </w:rPr>
        <w:t>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1.</w:t>
      </w:r>
      <w:r>
        <w:rPr>
          <w:rFonts w:hint="eastAsia" w:ascii="仿宋_GB2312" w:hAnsi="仿宋_GB2312" w:eastAsia="仿宋_GB2312" w:cs="仿宋_GB2312"/>
          <w:sz w:val="32"/>
          <w:szCs w:val="32"/>
        </w:rPr>
        <w:t>孵化器能力提升建设报告，包括对标标准、建设目标、主要任务、实施路径、资金投入、服务提升、企业培育成效等内容</w:t>
      </w:r>
      <w:r>
        <w:rPr>
          <w:rFonts w:hint="eastAsia"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 w:val="32"/>
          <w:szCs w:val="32"/>
          <w:lang w:val="en-US" w:eastAsia="zh-CN"/>
        </w:rPr>
      </w:pPr>
      <w:r>
        <w:rPr>
          <w:rFonts w:hint="eastAsia" w:cs="仿宋_GB2312"/>
          <w:sz w:val="32"/>
          <w:szCs w:val="32"/>
          <w:lang w:val="en-US" w:eastAsia="zh-CN"/>
        </w:rPr>
        <w:t>2.建设资金专项审计报告。申报单位应提交由具备资质的第三方会计师事务所出具的建设资金专项审计报告，重点审计孵化器围绕能力提升建设所发生的实际投入情况，包括但不限于场地改造、专业服务能力提升、数字化平台建设等相关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b w:val="0"/>
          <w:sz w:val="32"/>
        </w:rPr>
      </w:pPr>
      <w:r>
        <w:rPr>
          <w:rFonts w:hint="eastAsia" w:cs="仿宋_GB2312"/>
          <w:sz w:val="32"/>
          <w:szCs w:val="32"/>
          <w:lang w:val="en-US" w:eastAsia="zh-CN"/>
        </w:rPr>
        <w:t>3.</w:t>
      </w:r>
      <w:r>
        <w:rPr>
          <w:rFonts w:hint="eastAsia" w:ascii="仿宋_GB2312" w:hAnsi="仿宋_GB2312" w:eastAsia="仿宋_GB2312" w:cs="仿宋_GB2312"/>
          <w:sz w:val="32"/>
          <w:szCs w:val="32"/>
          <w:lang w:eastAsia="zh-CN"/>
        </w:rPr>
        <w:t>其他与申报有关的材料。</w:t>
      </w:r>
    </w:p>
    <w:p>
      <w:pPr>
        <w:keepNext w:val="0"/>
        <w:keepLines w:val="0"/>
        <w:pageBreakBefore w:val="0"/>
        <w:widowControl/>
        <w:kinsoku/>
        <w:wordWrap/>
        <w:overflowPunct/>
        <w:topLinePunct w:val="0"/>
        <w:autoSpaceDE/>
        <w:autoSpaceDN/>
        <w:bidi w:val="0"/>
        <w:adjustRightInd/>
        <w:snapToGrid/>
        <w:spacing w:after="80" w:line="560" w:lineRule="exact"/>
        <w:ind w:firstLine="640"/>
        <w:textAlignment w:val="auto"/>
        <w:rPr>
          <w:rFonts w:ascii="仿宋_GB2312" w:hAnsi="仿宋_GB2312" w:eastAsia="仿宋_GB2312"/>
          <w:b w:val="0"/>
          <w:sz w:val="32"/>
        </w:rPr>
      </w:pPr>
    </w:p>
    <w:p>
      <w:pPr>
        <w:keepNext w:val="0"/>
        <w:keepLines w:val="0"/>
        <w:pageBreakBefore w:val="0"/>
        <w:widowControl/>
        <w:kinsoku/>
        <w:wordWrap/>
        <w:overflowPunct/>
        <w:topLinePunct w:val="0"/>
        <w:autoSpaceDE/>
        <w:autoSpaceDN/>
        <w:bidi w:val="0"/>
        <w:adjustRightInd/>
        <w:snapToGrid/>
        <w:spacing w:after="80" w:line="560" w:lineRule="exact"/>
        <w:ind w:firstLine="64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四、第十三条：</w:t>
      </w:r>
      <w:r>
        <w:rPr>
          <w:rFonts w:hint="eastAsia" w:ascii="黑体" w:hAnsi="黑体" w:eastAsia="黑体" w:cs="黑体"/>
          <w:b w:val="0"/>
          <w:bCs/>
          <w:sz w:val="32"/>
          <w:szCs w:val="32"/>
        </w:rPr>
        <w:t>创新创业生态营造支持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（一）支持条件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1.</w:t>
      </w:r>
      <w:r>
        <w:rPr>
          <w:rFonts w:hint="eastAsia" w:ascii="仿宋_GB2312" w:hAnsi="仿宋_GB2312" w:eastAsia="仿宋_GB2312" w:cs="仿宋_GB2312"/>
          <w:sz w:val="32"/>
          <w:szCs w:val="32"/>
        </w:rPr>
        <w:t>申报主体条件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D1C28"/>
          <w:spacing w:val="0"/>
          <w:sz w:val="32"/>
          <w:szCs w:val="32"/>
        </w:rPr>
        <w:t>申报单位应为已认定的区级科技企业孵化器，且在西城区规范经营，运营管理状况良好，持续开展科技企业孵化服务。</w:t>
      </w:r>
      <w:r>
        <w:rPr>
          <w:rFonts w:hint="eastAsia" w:ascii="仿宋_GB2312" w:hAnsi="仿宋_GB2312" w:eastAsia="仿宋_GB2312" w:cs="仿宋_GB2312"/>
          <w:b w:val="0"/>
          <w:bCs w:val="0"/>
          <w:i w:val="0"/>
          <w:caps w:val="0"/>
          <w:color w:val="0D1C28"/>
          <w:spacing w:val="0"/>
          <w:sz w:val="32"/>
          <w:szCs w:val="32"/>
          <w:lang w:val="en-US" w:eastAsia="zh-CN"/>
        </w:rPr>
        <w:t>未通过区级科技企业孵化器认定复核或动态评价不合格的，按照政策规定不予资金支持。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2.</w:t>
      </w:r>
      <w:r>
        <w:rPr>
          <w:rFonts w:hint="eastAsia" w:ascii="仿宋_GB2312" w:hAnsi="仿宋_GB2312" w:eastAsia="仿宋_GB2312" w:cs="仿宋_GB2312"/>
          <w:sz w:val="32"/>
          <w:szCs w:val="32"/>
          <w:lang w:eastAsia="zh-CN"/>
        </w:rPr>
        <w:t>活动类别条件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申报活动应属于创新创业品牌活动、科技创新赛事、创业服务活动、科普活动、成果转化对接活动、产业交流活动等，且活动层级、内容和效果符合西城区科技创新和产业发展方向。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3.</w:t>
      </w:r>
      <w:r>
        <w:rPr>
          <w:rFonts w:hint="eastAsia" w:ascii="仿宋_GB2312" w:hAnsi="仿宋_GB2312" w:eastAsia="仿宋_GB2312" w:cs="仿宋_GB2312"/>
          <w:sz w:val="32"/>
          <w:szCs w:val="32"/>
          <w:lang w:eastAsia="zh-CN"/>
        </w:rPr>
        <w:t>实际承担任务条件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申报单位应在活动中实际承担组织策划、会务服务保障、参赛项目征集与遴选、创新创业项目展示对接、创业团队组织服务、招商引资及产业对接、宣传推广、成果转化服务等一项或多项具体工作。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4.</w:t>
      </w:r>
      <w:r>
        <w:rPr>
          <w:rFonts w:hint="eastAsia" w:ascii="仿宋_GB2312" w:hAnsi="仿宋_GB2312" w:eastAsia="仿宋_GB2312" w:cs="仿宋_GB2312"/>
          <w:sz w:val="32"/>
          <w:szCs w:val="32"/>
          <w:lang w:eastAsia="zh-CN"/>
        </w:rPr>
        <w:t>活动成效条件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活动应具有较好的企业服务、项目发现、成果转化、资源对接、招商引资或品牌宣传效果，能够提供参会企业、服务项目、对接成果、落地线索、宣传报道等证明材料。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5.</w:t>
      </w:r>
      <w:r>
        <w:rPr>
          <w:rFonts w:hint="eastAsia" w:ascii="仿宋_GB2312" w:hAnsi="仿宋_GB2312" w:eastAsia="仿宋_GB2312" w:cs="仿宋_GB2312"/>
          <w:sz w:val="32"/>
          <w:szCs w:val="32"/>
          <w:lang w:eastAsia="zh-CN"/>
        </w:rPr>
        <w:t>资金合规条件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同一活动、同一事项已获得区级同类财政资金支持的，原则上不得重复申报；涉及多个单位共同承办的，应明确各方职责分工和实际承担费用。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（二）支持方式和金额</w:t>
      </w:r>
    </w:p>
    <w:p>
      <w:pPr>
        <w:pStyle w:val="2"/>
        <w:keepNext w:val="0"/>
        <w:keepLines w:val="0"/>
        <w:pageBreakBefore w:val="0"/>
        <w:widowControl/>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对符合条件的孵化机构，按照活动层级、活动规模、实际承担任务、服务企业数量、项目对接成效、成果转化效果、实际支出情况等因素综合评定后给予支持。单个机构年度支持总额最高不超过 30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（三）专项</w:t>
      </w:r>
      <w:r>
        <w:rPr>
          <w:rFonts w:hint="eastAsia" w:ascii="楷体_GB2312" w:hAnsi="楷体_GB2312" w:eastAsia="楷体_GB2312" w:cs="楷体_GB2312"/>
          <w:sz w:val="32"/>
          <w:szCs w:val="32"/>
        </w:rPr>
        <w:t>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1.</w:t>
      </w:r>
      <w:r>
        <w:rPr>
          <w:rFonts w:hint="eastAsia" w:ascii="仿宋_GB2312" w:hAnsi="仿宋_GB2312" w:eastAsia="仿宋_GB2312" w:cs="仿宋_GB2312"/>
          <w:sz w:val="32"/>
          <w:szCs w:val="32"/>
        </w:rPr>
        <w:t>活动基本情况说明；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2.</w:t>
      </w:r>
      <w:r>
        <w:rPr>
          <w:rFonts w:hint="eastAsia" w:ascii="仿宋_GB2312" w:hAnsi="仿宋_GB2312" w:eastAsia="仿宋_GB2312" w:cs="仿宋_GB2312"/>
          <w:sz w:val="32"/>
          <w:szCs w:val="32"/>
        </w:rPr>
        <w:t>活动费用支出证明材料，包括合同、发票、付款凭证、费用明细、第三方服务协议等；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3.</w:t>
      </w:r>
      <w:r>
        <w:rPr>
          <w:rFonts w:hint="eastAsia" w:ascii="仿宋_GB2312" w:hAnsi="仿宋_GB2312" w:eastAsia="仿宋_GB2312" w:cs="仿宋_GB2312"/>
          <w:sz w:val="32"/>
          <w:szCs w:val="32"/>
        </w:rPr>
        <w:t>企业开户许可证复印件或基本账户信息</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cs="仿宋_GB2312"/>
          <w:sz w:val="32"/>
          <w:szCs w:val="32"/>
          <w:lang w:val="en-US" w:eastAsia="zh-CN"/>
        </w:rPr>
        <w:t>4.</w:t>
      </w:r>
      <w:r>
        <w:rPr>
          <w:rFonts w:hint="eastAsia" w:ascii="仿宋_GB2312" w:hAnsi="仿宋_GB2312" w:eastAsia="仿宋_GB2312" w:cs="仿宋_GB2312"/>
          <w:sz w:val="32"/>
          <w:szCs w:val="32"/>
          <w:lang w:eastAsia="zh-CN"/>
        </w:rPr>
        <w:t>其他与申报有关的材料。</w:t>
      </w:r>
    </w:p>
    <w:p>
      <w:pPr>
        <w:keepNext w:val="0"/>
        <w:keepLines w:val="0"/>
        <w:pageBreakBefore w:val="0"/>
        <w:widowControl/>
        <w:kinsoku/>
        <w:wordWrap/>
        <w:overflowPunct/>
        <w:topLinePunct w:val="0"/>
        <w:autoSpaceDE/>
        <w:autoSpaceDN/>
        <w:bidi w:val="0"/>
        <w:adjustRightInd/>
        <w:snapToGrid/>
        <w:spacing w:before="120" w:after="80" w:line="560" w:lineRule="exact"/>
        <w:ind w:firstLine="640" w:firstLineChars="200"/>
        <w:textAlignment w:val="auto"/>
        <w:rPr>
          <w:rFonts w:hint="eastAsia" w:ascii="黑体" w:hAnsi="黑体" w:eastAsia="黑体" w:cs="黑体"/>
          <w:b w:val="0"/>
          <w:bCs/>
          <w:sz w:val="32"/>
          <w:lang w:eastAsia="zh-CN"/>
        </w:rPr>
      </w:pPr>
    </w:p>
    <w:p>
      <w:pPr>
        <w:keepNext w:val="0"/>
        <w:keepLines w:val="0"/>
        <w:pageBreakBefore w:val="0"/>
        <w:widowControl/>
        <w:kinsoku/>
        <w:wordWrap/>
        <w:overflowPunct/>
        <w:topLinePunct w:val="0"/>
        <w:autoSpaceDE/>
        <w:autoSpaceDN/>
        <w:bidi w:val="0"/>
        <w:adjustRightInd/>
        <w:snapToGrid/>
        <w:spacing w:before="120" w:after="80"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lang w:eastAsia="zh-CN"/>
        </w:rPr>
        <w:t>五、第十四条：培育</w:t>
      </w:r>
      <w:r>
        <w:rPr>
          <w:rFonts w:hint="eastAsia" w:ascii="黑体" w:hAnsi="黑体" w:eastAsia="黑体" w:cs="黑体"/>
          <w:b w:val="0"/>
          <w:bCs/>
          <w:sz w:val="32"/>
        </w:rPr>
        <w:t>在孵企业成长支持</w:t>
      </w:r>
    </w:p>
    <w:p>
      <w:pPr>
        <w:keepNext w:val="0"/>
        <w:keepLines w:val="0"/>
        <w:pageBreakBefore w:val="0"/>
        <w:widowControl/>
        <w:kinsoku/>
        <w:wordWrap/>
        <w:overflowPunct/>
        <w:topLinePunct w:val="0"/>
        <w:autoSpaceDE/>
        <w:autoSpaceDN/>
        <w:bidi w:val="0"/>
        <w:adjustRightInd/>
        <w:snapToGrid/>
        <w:spacing w:before="120" w:after="80"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rPr>
        <w:t>支持条件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申报主体条件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caps w:val="0"/>
          <w:color w:val="0D1C28"/>
          <w:spacing w:val="0"/>
          <w:sz w:val="32"/>
          <w:szCs w:val="32"/>
          <w:lang w:val="en-US" w:eastAsia="zh-CN"/>
        </w:rPr>
      </w:pPr>
      <w:r>
        <w:rPr>
          <w:rFonts w:hint="eastAsia" w:ascii="仿宋_GB2312" w:hAnsi="仿宋_GB2312" w:eastAsia="仿宋_GB2312" w:cs="仿宋_GB2312"/>
          <w:i w:val="0"/>
          <w:caps w:val="0"/>
          <w:color w:val="0D1C28"/>
          <w:spacing w:val="0"/>
          <w:sz w:val="32"/>
          <w:szCs w:val="32"/>
        </w:rPr>
        <w:t>申报单位应为已认定的区级科技企业孵化器，且在西城区规范经营，运营管理状况良好，持续开展科技企业孵化服务。</w:t>
      </w:r>
      <w:r>
        <w:rPr>
          <w:rFonts w:hint="eastAsia" w:ascii="仿宋_GB2312" w:hAnsi="仿宋_GB2312" w:eastAsia="仿宋_GB2312" w:cs="仿宋_GB2312"/>
          <w:b w:val="0"/>
          <w:bCs w:val="0"/>
          <w:i w:val="0"/>
          <w:caps w:val="0"/>
          <w:color w:val="0D1C28"/>
          <w:spacing w:val="0"/>
          <w:sz w:val="32"/>
          <w:szCs w:val="32"/>
          <w:lang w:val="en-US" w:eastAsia="zh-CN"/>
        </w:rPr>
        <w:t>未通过区级科技企业孵化器认定复核或动态评价不合格的，按照政策规定不予资金支持。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cs="仿宋_GB2312"/>
          <w:sz w:val="32"/>
          <w:szCs w:val="32"/>
          <w:lang w:val="en-US" w:eastAsia="zh-CN"/>
        </w:rPr>
        <w:t>2.</w:t>
      </w:r>
      <w:r>
        <w:rPr>
          <w:rFonts w:hint="eastAsia" w:ascii="仿宋_GB2312" w:hAnsi="仿宋_GB2312" w:eastAsia="仿宋_GB2312" w:cs="仿宋_GB2312"/>
          <w:sz w:val="32"/>
          <w:szCs w:val="32"/>
          <w:lang w:val="en-US" w:eastAsia="zh-CN"/>
        </w:rPr>
        <w:t>培育对象条件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被培育企业应为孵化器在孵企业或经孵化器持续服务培育的毕业企业，且应在西城区</w:t>
      </w:r>
      <w:r>
        <w:rPr>
          <w:rFonts w:hint="eastAsia" w:ascii="仿宋_GB2312" w:hAnsi="仿宋_GB2312" w:eastAsia="仿宋_GB2312" w:cs="仿宋_GB2312"/>
          <w:sz w:val="32"/>
          <w:szCs w:val="32"/>
          <w:lang w:eastAsia="zh-CN"/>
        </w:rPr>
        <w:t>规范</w:t>
      </w:r>
      <w:r>
        <w:rPr>
          <w:rFonts w:hint="eastAsia" w:ascii="仿宋_GB2312" w:hAnsi="仿宋_GB2312" w:eastAsia="仿宋_GB2312" w:cs="仿宋_GB2312"/>
          <w:sz w:val="32"/>
          <w:szCs w:val="32"/>
        </w:rPr>
        <w:t>经营，符合区域产业发展方向。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cs="仿宋_GB2312"/>
          <w:sz w:val="32"/>
          <w:szCs w:val="32"/>
          <w:lang w:val="en-US" w:eastAsia="zh-CN"/>
        </w:rPr>
        <w:t>3.</w:t>
      </w:r>
      <w:r>
        <w:rPr>
          <w:rFonts w:hint="eastAsia" w:ascii="仿宋_GB2312" w:hAnsi="仿宋_GB2312" w:eastAsia="仿宋_GB2312" w:cs="仿宋_GB2312"/>
          <w:sz w:val="32"/>
          <w:szCs w:val="32"/>
          <w:lang w:val="en-US" w:eastAsia="zh-CN"/>
        </w:rPr>
        <w:t>培育关系条件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申报单位应能够提供与被培育企业之间的入孵协议、服务协议、租赁协议、培育服务记录等材料，证明孵化器对企业成长发挥了实际服务作用。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cs="仿宋_GB2312"/>
          <w:sz w:val="32"/>
          <w:szCs w:val="32"/>
          <w:lang w:val="en-US" w:eastAsia="zh-CN"/>
        </w:rPr>
        <w:t>4.</w:t>
      </w:r>
      <w:r>
        <w:rPr>
          <w:rFonts w:hint="eastAsia" w:ascii="仿宋_GB2312" w:hAnsi="仿宋_GB2312" w:eastAsia="仿宋_GB2312" w:cs="仿宋_GB2312"/>
          <w:sz w:val="32"/>
          <w:szCs w:val="32"/>
          <w:lang w:val="en-US" w:eastAsia="zh-CN"/>
        </w:rPr>
        <w:t>成果取得条件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培育企业应在申报年度或政策规定期限内新取得独角兽企业、潜在独角兽企业、隐形冠军企业、单项冠军企业、国家专精特新“小巨人”企业、国家高新技术企业、北京市专精特新中小企业等成长成果；申报科技服务业或信息传输、软件和信息技术服务业企业毕业奖励的，应符合毕业条件并能够提供毕业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cs="仿宋_GB2312"/>
          <w:sz w:val="32"/>
          <w:szCs w:val="32"/>
          <w:lang w:val="en-US" w:eastAsia="zh-CN"/>
        </w:rPr>
        <w:t>5.</w:t>
      </w:r>
      <w:r>
        <w:rPr>
          <w:rFonts w:hint="eastAsia" w:ascii="仿宋_GB2312" w:hAnsi="仿宋_GB2312" w:eastAsia="仿宋_GB2312" w:cs="仿宋_GB2312"/>
          <w:sz w:val="32"/>
          <w:szCs w:val="32"/>
          <w:lang w:val="en-US" w:eastAsia="zh-CN"/>
        </w:rPr>
        <w:t>不重复支持条件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单家企业同时</w:t>
      </w:r>
      <w:r>
        <w:rPr>
          <w:rFonts w:hint="eastAsia" w:ascii="仿宋_GB2312" w:hAnsi="仿宋_GB2312" w:eastAsia="仿宋_GB2312" w:cs="仿宋_GB2312"/>
          <w:sz w:val="32"/>
          <w:szCs w:val="32"/>
          <w:lang w:eastAsia="zh-CN"/>
        </w:rPr>
        <w:t>取得</w:t>
      </w:r>
      <w:r>
        <w:rPr>
          <w:rFonts w:hint="eastAsia" w:ascii="仿宋_GB2312" w:hAnsi="仿宋_GB2312" w:eastAsia="仿宋_GB2312" w:cs="仿宋_GB2312"/>
          <w:sz w:val="32"/>
          <w:szCs w:val="32"/>
        </w:rPr>
        <w:t>多项成长成果的，按最高标准给予孵化器支持；同一企业同一成长成果原则上不得重复申报。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支持方式和金额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1.</w:t>
      </w:r>
      <w:r>
        <w:rPr>
          <w:rFonts w:hint="eastAsia" w:ascii="仿宋_GB2312" w:hAnsi="仿宋_GB2312" w:eastAsia="仿宋_GB2312" w:cs="仿宋_GB2312"/>
          <w:sz w:val="32"/>
          <w:szCs w:val="32"/>
        </w:rPr>
        <w:t>每新培育一家独角兽企业、上市企业等高精尖头部企业，奖励孵化器 30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2.</w:t>
      </w:r>
      <w:r>
        <w:rPr>
          <w:rFonts w:hint="eastAsia" w:ascii="仿宋_GB2312" w:hAnsi="仿宋_GB2312" w:eastAsia="仿宋_GB2312" w:cs="仿宋_GB2312"/>
          <w:sz w:val="32"/>
          <w:szCs w:val="32"/>
        </w:rPr>
        <w:t>每新培育一家潜在独角兽企业，奖励孵化器 20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3.</w:t>
      </w:r>
      <w:r>
        <w:rPr>
          <w:rFonts w:hint="eastAsia" w:ascii="仿宋_GB2312" w:hAnsi="仿宋_GB2312" w:eastAsia="仿宋_GB2312" w:cs="仿宋_GB2312"/>
          <w:sz w:val="32"/>
          <w:szCs w:val="32"/>
        </w:rPr>
        <w:t>每新培育一家“隐形冠军”“单项冠军”或国家专精特新“小巨人”企业，奖励孵化器 15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4.</w:t>
      </w:r>
      <w:r>
        <w:rPr>
          <w:rFonts w:hint="eastAsia" w:ascii="仿宋_GB2312" w:hAnsi="仿宋_GB2312" w:eastAsia="仿宋_GB2312" w:cs="仿宋_GB2312"/>
          <w:sz w:val="32"/>
          <w:szCs w:val="32"/>
        </w:rPr>
        <w:t>每新培育一家科技服务业或信息传输、软件和信息技术服务业企业毕业，奖励孵化器 5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5.</w:t>
      </w:r>
      <w:r>
        <w:rPr>
          <w:rFonts w:hint="eastAsia" w:ascii="仿宋_GB2312" w:hAnsi="仿宋_GB2312" w:eastAsia="仿宋_GB2312" w:cs="仿宋_GB2312"/>
          <w:sz w:val="32"/>
          <w:szCs w:val="32"/>
        </w:rPr>
        <w:t>每新培育一家国家高新技术企业或北京市专精特新中小企业，奖励孵化器 1 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6.</w:t>
      </w:r>
      <w:r>
        <w:rPr>
          <w:rFonts w:hint="eastAsia" w:ascii="仿宋_GB2312" w:hAnsi="仿宋_GB2312" w:eastAsia="仿宋_GB2312" w:cs="仿宋_GB2312"/>
          <w:sz w:val="32"/>
          <w:szCs w:val="32"/>
        </w:rPr>
        <w:t>单家企业同时符合多项奖励条件的，按照最高标准给予支持，不重复奖励。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（三）专项</w:t>
      </w:r>
      <w:r>
        <w:rPr>
          <w:rFonts w:hint="eastAsia" w:ascii="楷体_GB2312" w:hAnsi="楷体_GB2312" w:eastAsia="楷体_GB2312" w:cs="楷体_GB2312"/>
          <w:sz w:val="32"/>
          <w:szCs w:val="32"/>
        </w:rPr>
        <w:t>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1.</w:t>
      </w:r>
      <w:r>
        <w:rPr>
          <w:rFonts w:hint="eastAsia" w:ascii="仿宋_GB2312" w:hAnsi="仿宋_GB2312" w:eastAsia="仿宋_GB2312" w:cs="仿宋_GB2312"/>
          <w:sz w:val="32"/>
          <w:szCs w:val="32"/>
        </w:rPr>
        <w:t>被培育企业入孵协议、服务协议、租赁协议、毕业证明或其他能够证明孵化培育关系的材料；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2.</w:t>
      </w:r>
      <w:r>
        <w:rPr>
          <w:rFonts w:hint="eastAsia" w:ascii="仿宋_GB2312" w:hAnsi="仿宋_GB2312" w:eastAsia="仿宋_GB2312" w:cs="仿宋_GB2312"/>
          <w:sz w:val="32"/>
          <w:szCs w:val="32"/>
        </w:rPr>
        <w:t>孵化器对企业提供培育服务的证明材料，包括政策辅导、创业辅导、融资对接、知识产权服务、技术转移服务、市场拓展服务、人才服务、导师服务、成果转化服务等记录；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3.</w:t>
      </w:r>
      <w:r>
        <w:rPr>
          <w:rFonts w:hint="eastAsia" w:ascii="仿宋_GB2312" w:hAnsi="仿宋_GB2312" w:eastAsia="仿宋_GB2312" w:cs="仿宋_GB2312"/>
          <w:i w:val="0"/>
          <w:caps w:val="0"/>
          <w:color w:val="auto"/>
          <w:spacing w:val="0"/>
          <w:sz w:val="32"/>
          <w:szCs w:val="32"/>
          <w:shd w:val="clear" w:color="auto" w:fill="auto"/>
        </w:rPr>
        <w:t>单家企业取得多项资质的，按最高标准申报，提交资质取得情况说明</w:t>
      </w:r>
      <w:bookmarkStart w:id="0" w:name="_GoBack"/>
      <w:bookmarkEnd w:id="0"/>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snapToGrid/>
        <w:spacing w:before="200" w:after="12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4.</w:t>
      </w:r>
      <w:r>
        <w:rPr>
          <w:rFonts w:hint="eastAsia" w:ascii="仿宋_GB2312" w:hAnsi="仿宋_GB2312" w:eastAsia="仿宋_GB2312" w:cs="仿宋_GB2312"/>
          <w:sz w:val="32"/>
          <w:szCs w:val="32"/>
          <w:lang w:eastAsia="zh-CN"/>
        </w:rPr>
        <w:t>其他与申报有关的材料。</w:t>
      </w:r>
    </w:p>
    <w:p>
      <w:pPr>
        <w:keepNext w:val="0"/>
        <w:keepLines w:val="0"/>
        <w:pageBreakBefore w:val="0"/>
        <w:widowControl/>
        <w:kinsoku/>
        <w:wordWrap/>
        <w:overflowPunct/>
        <w:topLinePunct w:val="0"/>
        <w:autoSpaceDE/>
        <w:autoSpaceDN/>
        <w:bidi w:val="0"/>
        <w:adjustRightInd/>
        <w:snapToGrid/>
        <w:spacing w:after="80" w:line="560" w:lineRule="exact"/>
        <w:ind w:firstLine="640" w:firstLineChars="200"/>
        <w:textAlignment w:val="auto"/>
        <w:rPr>
          <w:rFonts w:hint="eastAsia" w:ascii="黑体" w:hAnsi="黑体" w:eastAsia="黑体"/>
          <w:b w:val="0"/>
          <w:sz w:val="32"/>
          <w:lang w:eastAsia="zh-CN"/>
        </w:rPr>
      </w:pPr>
    </w:p>
    <w:p>
      <w:pPr>
        <w:keepNext w:val="0"/>
        <w:keepLines w:val="0"/>
        <w:pageBreakBefore w:val="0"/>
        <w:widowControl/>
        <w:kinsoku/>
        <w:wordWrap/>
        <w:overflowPunct/>
        <w:topLinePunct w:val="0"/>
        <w:autoSpaceDE/>
        <w:autoSpaceDN/>
        <w:bidi w:val="0"/>
        <w:adjustRightInd/>
        <w:snapToGrid/>
        <w:spacing w:after="80" w:line="560" w:lineRule="exact"/>
        <w:ind w:firstLine="640" w:firstLineChars="200"/>
        <w:textAlignment w:val="auto"/>
      </w:pPr>
      <w:r>
        <w:rPr>
          <w:rFonts w:hint="eastAsia" w:ascii="黑体" w:hAnsi="黑体" w:eastAsia="黑体"/>
          <w:b w:val="0"/>
          <w:sz w:val="32"/>
          <w:lang w:eastAsia="zh-CN"/>
        </w:rPr>
        <w:t>六</w:t>
      </w:r>
      <w:r>
        <w:rPr>
          <w:rFonts w:ascii="黑体" w:hAnsi="黑体" w:eastAsia="黑体"/>
          <w:b w:val="0"/>
          <w:sz w:val="32"/>
        </w:rPr>
        <w:t>、申报管理要求</w:t>
      </w:r>
    </w:p>
    <w:p>
      <w:pPr>
        <w:keepNext w:val="0"/>
        <w:keepLines w:val="0"/>
        <w:pageBreakBefore w:val="0"/>
        <w:widowControl/>
        <w:kinsoku/>
        <w:wordWrap/>
        <w:overflowPunct/>
        <w:topLinePunct w:val="0"/>
        <w:autoSpaceDE/>
        <w:autoSpaceDN/>
        <w:bidi w:val="0"/>
        <w:adjustRightInd/>
        <w:snapToGrid/>
        <w:spacing w:after="80" w:line="560" w:lineRule="exact"/>
        <w:ind w:firstLine="640"/>
        <w:textAlignment w:val="auto"/>
      </w:pPr>
      <w:r>
        <w:rPr>
          <w:rFonts w:ascii="仿宋_GB2312" w:hAnsi="仿宋_GB2312" w:eastAsia="仿宋_GB2312"/>
          <w:b w:val="0"/>
          <w:sz w:val="32"/>
        </w:rPr>
        <w:t>（一）申报单位应对申报材料的真实性、完整性、准确性负责，同步做好台账留存、原始凭证归集和后续核查配合工作。</w:t>
      </w:r>
    </w:p>
    <w:p>
      <w:pPr>
        <w:keepNext w:val="0"/>
        <w:keepLines w:val="0"/>
        <w:pageBreakBefore w:val="0"/>
        <w:widowControl/>
        <w:kinsoku/>
        <w:wordWrap/>
        <w:overflowPunct/>
        <w:topLinePunct w:val="0"/>
        <w:autoSpaceDE/>
        <w:autoSpaceDN/>
        <w:bidi w:val="0"/>
        <w:adjustRightInd/>
        <w:snapToGrid/>
        <w:spacing w:after="80" w:line="560" w:lineRule="exact"/>
        <w:ind w:firstLine="640"/>
        <w:textAlignment w:val="auto"/>
      </w:pPr>
      <w:r>
        <w:rPr>
          <w:rFonts w:ascii="仿宋_GB2312" w:hAnsi="仿宋_GB2312" w:eastAsia="仿宋_GB2312"/>
          <w:b w:val="0"/>
          <w:sz w:val="32"/>
        </w:rPr>
        <w:t>（</w:t>
      </w:r>
      <w:r>
        <w:rPr>
          <w:rFonts w:hint="eastAsia"/>
          <w:b w:val="0"/>
          <w:sz w:val="32"/>
          <w:lang w:eastAsia="zh-CN"/>
        </w:rPr>
        <w:t>二</w:t>
      </w:r>
      <w:r>
        <w:rPr>
          <w:rFonts w:ascii="仿宋_GB2312" w:hAnsi="仿宋_GB2312" w:eastAsia="仿宋_GB2312"/>
          <w:b w:val="0"/>
          <w:sz w:val="32"/>
        </w:rPr>
        <w:t>）西城园管委会（区科委）可根据工作需要开展材料审核、现场核查、专家评审、部门征询、公示及绩效跟踪，发现弄虚作假、严重失信、违法违规等情形的，依法依规予以处理。</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9C1A2B"/>
    <w:rsid w:val="04C65ECF"/>
    <w:rsid w:val="086B353E"/>
    <w:rsid w:val="14962369"/>
    <w:rsid w:val="160B20CB"/>
    <w:rsid w:val="1DC51D33"/>
    <w:rsid w:val="1F8C75FB"/>
    <w:rsid w:val="279854FF"/>
    <w:rsid w:val="296839ED"/>
    <w:rsid w:val="2B5C246C"/>
    <w:rsid w:val="31CF3106"/>
    <w:rsid w:val="388871AA"/>
    <w:rsid w:val="3EFD096D"/>
    <w:rsid w:val="48530FC1"/>
    <w:rsid w:val="4A9C1A2B"/>
    <w:rsid w:val="512B7983"/>
    <w:rsid w:val="55C20A54"/>
    <w:rsid w:val="634608BF"/>
    <w:rsid w:val="63631B74"/>
    <w:rsid w:val="658B16FF"/>
    <w:rsid w:val="6BBF264C"/>
    <w:rsid w:val="6E490153"/>
    <w:rsid w:val="7314629E"/>
    <w:rsid w:val="79506B3D"/>
    <w:rsid w:val="7DB17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仿宋_GB2312" w:hAnsi="仿宋_GB2312" w:eastAsia="仿宋_GB2312" w:cstheme="minorBidi"/>
      <w:sz w:val="32"/>
      <w:szCs w:val="22"/>
      <w:lang w:val="en-US" w:eastAsia="en-US" w:bidi="ar-SA"/>
    </w:rPr>
  </w:style>
  <w:style w:type="character" w:default="1" w:styleId="5">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99"/>
    <w:pPr>
      <w:widowControl/>
      <w:spacing w:line="560" w:lineRule="exact"/>
      <w:ind w:firstLine="560"/>
      <w:jc w:val="left"/>
    </w:pPr>
    <w:rPr>
      <w:rFonts w:ascii="仿宋" w:hAnsi="仿宋" w:eastAsia="仿宋_GB2312" w:cs="仿宋"/>
      <w:kern w:val="0"/>
      <w:sz w:val="36"/>
      <w:szCs w:val="36"/>
    </w:r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2026-05-26T09:18:00Z</dcterms:created>
  <dc:creator>Administrator</dc:creator>
  <cp:lastModifiedBy>LiuH</cp:lastModifiedBy>
  <cp:lastPrinted>2026-05-28T01:30:00Z</cp:lastPrinted>
  <dcterms:modified xsi:type="dcterms:W3CDTF">2026-08-25T09:27:37Z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