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sz w:val="44"/>
          <w:szCs w:val="44"/>
          <w:highlight w:val="none"/>
          <w:lang w:val="en-US" w:eastAsia="zh-CN"/>
        </w:rPr>
      </w:pPr>
      <w:r>
        <w:rPr>
          <w:rFonts w:hint="eastAsia" w:ascii="方正小标宋简体" w:hAnsi="黑体" w:eastAsia="方正小标宋简体"/>
          <w:sz w:val="44"/>
          <w:szCs w:val="44"/>
          <w:highlight w:val="none"/>
          <w:lang w:val="en-US" w:eastAsia="zh-CN"/>
        </w:rPr>
        <w:t>北京市</w:t>
      </w:r>
      <w:r>
        <w:rPr>
          <w:rFonts w:hint="eastAsia" w:ascii="方正小标宋简体" w:hAnsi="黑体" w:eastAsia="方正小标宋简体"/>
          <w:sz w:val="44"/>
          <w:szCs w:val="44"/>
          <w:highlight w:val="none"/>
        </w:rPr>
        <w:t>西城区发展</w:t>
      </w:r>
      <w:r>
        <w:rPr>
          <w:rFonts w:hint="eastAsia" w:ascii="方正小标宋简体" w:hAnsi="黑体" w:eastAsia="方正小标宋简体"/>
          <w:sz w:val="44"/>
          <w:szCs w:val="44"/>
          <w:highlight w:val="none"/>
          <w:lang w:eastAsia="zh-CN"/>
        </w:rPr>
        <w:t>和</w:t>
      </w:r>
      <w:r>
        <w:rPr>
          <w:rFonts w:hint="eastAsia" w:ascii="方正小标宋简体" w:hAnsi="黑体" w:eastAsia="方正小标宋简体"/>
          <w:sz w:val="44"/>
          <w:szCs w:val="44"/>
          <w:highlight w:val="none"/>
        </w:rPr>
        <w:t>改革委</w:t>
      </w:r>
      <w:r>
        <w:rPr>
          <w:rFonts w:hint="eastAsia" w:ascii="方正小标宋简体" w:hAnsi="黑体" w:eastAsia="方正小标宋简体"/>
          <w:sz w:val="44"/>
          <w:szCs w:val="44"/>
          <w:highlight w:val="none"/>
          <w:lang w:val="en-US" w:eastAsia="zh-CN"/>
        </w:rPr>
        <w:t>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sz w:val="44"/>
          <w:szCs w:val="44"/>
          <w:highlight w:val="none"/>
        </w:rPr>
      </w:pPr>
      <w:r>
        <w:rPr>
          <w:rFonts w:hint="eastAsia" w:ascii="方正小标宋简体" w:hAnsi="黑体" w:eastAsia="方正小标宋简体"/>
          <w:sz w:val="44"/>
          <w:szCs w:val="44"/>
          <w:highlight w:val="none"/>
        </w:rPr>
        <w:t>202</w:t>
      </w:r>
      <w:r>
        <w:rPr>
          <w:rFonts w:hint="eastAsia" w:ascii="方正小标宋简体" w:hAnsi="黑体" w:eastAsia="方正小标宋简体"/>
          <w:sz w:val="44"/>
          <w:szCs w:val="44"/>
          <w:highlight w:val="none"/>
          <w:lang w:val="en-US" w:eastAsia="zh-CN"/>
        </w:rPr>
        <w:t>6</w:t>
      </w:r>
      <w:r>
        <w:rPr>
          <w:rFonts w:hint="eastAsia" w:ascii="方正小标宋简体" w:hAnsi="黑体" w:eastAsia="方正小标宋简体"/>
          <w:sz w:val="44"/>
          <w:szCs w:val="44"/>
          <w:highlight w:val="none"/>
        </w:rPr>
        <w:t>年北京市公共资源交易</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bCs/>
          <w:sz w:val="44"/>
          <w:szCs w:val="44"/>
          <w:highlight w:val="none"/>
          <w:lang w:val="en-US" w:eastAsia="zh-CN"/>
        </w:rPr>
      </w:pPr>
      <w:r>
        <w:rPr>
          <w:rFonts w:hint="eastAsia" w:ascii="方正小标宋简体" w:hAnsi="黑体" w:eastAsia="方正小标宋简体"/>
          <w:sz w:val="44"/>
          <w:szCs w:val="44"/>
          <w:highlight w:val="none"/>
        </w:rPr>
        <w:t>西城区分平台运维项目</w:t>
      </w:r>
      <w:r>
        <w:rPr>
          <w:rFonts w:hint="eastAsia" w:ascii="方正小标宋简体" w:hAnsi="黑体" w:eastAsia="方正小标宋简体"/>
          <w:sz w:val="44"/>
          <w:szCs w:val="44"/>
          <w:highlight w:val="none"/>
          <w:lang w:val="en-US" w:eastAsia="zh-CN"/>
        </w:rPr>
        <w:t>比选公告</w:t>
      </w: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left="640" w:firstLine="0" w:firstLineChars="0"/>
        <w:textAlignment w:val="auto"/>
        <w:rPr>
          <w:rFonts w:hint="eastAsia" w:ascii="黑体" w:eastAsia="黑体"/>
          <w:bCs/>
          <w:sz w:val="32"/>
          <w:szCs w:val="32"/>
          <w:highlight w:val="none"/>
          <w:lang w:val="en-US" w:eastAsia="zh-CN"/>
        </w:rPr>
      </w:pPr>
      <w:r>
        <w:rPr>
          <w:rFonts w:hint="eastAsia" w:ascii="黑体" w:eastAsia="黑体"/>
          <w:bCs/>
          <w:sz w:val="32"/>
          <w:szCs w:val="32"/>
          <w:highlight w:val="none"/>
        </w:rPr>
        <w:t>一、</w:t>
      </w:r>
      <w:r>
        <w:rPr>
          <w:rFonts w:hint="eastAsia" w:ascii="黑体" w:eastAsia="黑体"/>
          <w:bCs/>
          <w:sz w:val="32"/>
          <w:szCs w:val="32"/>
          <w:highlight w:val="none"/>
          <w:lang w:val="en-US" w:eastAsia="zh-CN"/>
        </w:rPr>
        <w:t>项目简介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1.项目名称：2026年北京市公共资源交易西城区分平台运维项目。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2.预算金额：53.2万元。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3.服务期限：一年。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4.项目内容：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（1）配备两名驻场运维人员，工作时间为工作日8:30-17:30。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承担与北京市公共资源交易西城分平台信息系统相关的运行维护支持工作，其中包括运维管理、资产管理、日常巡检、基础维护、功能维护、网站内容运维、技术支持、重点时期保障等，保障北京市公共资源交易西城区分平台平稳运行，高效开展交易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具体</w:t>
      </w:r>
      <w:r>
        <w:rPr>
          <w:rFonts w:hint="eastAsia" w:ascii="仿宋_GB2312" w:hAnsi="仿宋_GB2312" w:eastAsia="仿宋_GB2312" w:cs="仿宋_GB2312"/>
          <w:sz w:val="32"/>
          <w:szCs w:val="32"/>
          <w:highlight w:val="none"/>
        </w:rPr>
        <w:t>需求</w:t>
      </w:r>
      <w:r>
        <w:rPr>
          <w:rFonts w:hint="eastAsia" w:ascii="仿宋_GB2312" w:hAnsi="仿宋_GB2312" w:eastAsia="仿宋_GB2312" w:cs="仿宋_GB2312"/>
          <w:sz w:val="32"/>
          <w:szCs w:val="32"/>
          <w:highlight w:val="none"/>
          <w:lang w:val="en-US" w:eastAsia="zh-CN"/>
        </w:rPr>
        <w:t>如下</w:t>
      </w:r>
      <w:r>
        <w:rPr>
          <w:rFonts w:hint="eastAsia" w:ascii="仿宋_GB2312" w:hAnsi="仿宋_GB2312" w:eastAsia="仿宋_GB2312" w:cs="仿宋_GB2312"/>
          <w:sz w:val="32"/>
          <w:szCs w:val="32"/>
          <w:highlight w:val="none"/>
        </w:rPr>
        <w:t>：</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701"/>
        <w:gridCol w:w="990"/>
        <w:gridCol w:w="6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2433" w:type="dxa"/>
            <w:gridSpan w:val="3"/>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名称</w:t>
            </w:r>
          </w:p>
        </w:tc>
        <w:tc>
          <w:tcPr>
            <w:tcW w:w="6089" w:type="dxa"/>
            <w:shd w:val="clear" w:color="000000" w:fill="FFFFFF"/>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trPr>
        <w:tc>
          <w:tcPr>
            <w:tcW w:w="74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运维管理</w:t>
            </w: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网络域及策略</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互</w:t>
            </w:r>
            <w:r>
              <w:rPr>
                <w:rFonts w:hint="eastAsia" w:ascii="仿宋_GB2312" w:hAnsi="仿宋_GB2312" w:eastAsia="仿宋_GB2312" w:cs="仿宋_GB2312"/>
                <w:sz w:val="32"/>
                <w:szCs w:val="32"/>
                <w:highlight w:val="none"/>
              </w:rPr>
              <w:t>联网区：涉及公共资源交易系统、门户网站。涉及 10 余个外部访问策略和 20 余个内部访问策略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政务外网区：涉及监管平台、信息发布系统、场地管理系统。涉及40 余个外部访问策略和 120 余个内部访问策略。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服务器</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互联网区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部署3台云服务器，用于支撑公共服务平台对市级平台数据共享、数据收集、业务协同、门户网站、交易系统的运行服务。</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政务外网区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部署7台物理服务器，用于支撑场地信息数据收集、数据共享、业务协同、监管平台的过程监督、过程管理服务。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操作系统</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8套 Linux 操作系统、2</w:t>
            </w:r>
            <w:r>
              <w:rPr>
                <w:rFonts w:hint="eastAsia" w:ascii="仿宋_GB2312" w:hAnsi="仿宋_GB2312" w:eastAsia="仿宋_GB2312" w:cs="仿宋_GB2312"/>
                <w:sz w:val="32"/>
                <w:szCs w:val="32"/>
                <w:highlight w:val="none"/>
                <w:lang w:val="en-US" w:eastAsia="zh-CN"/>
              </w:rPr>
              <w:t>套</w:t>
            </w:r>
            <w:r>
              <w:rPr>
                <w:rFonts w:hint="eastAsia" w:ascii="仿宋_GB2312" w:hAnsi="仿宋_GB2312" w:eastAsia="仿宋_GB2312" w:cs="仿宋_GB2312"/>
                <w:sz w:val="32"/>
                <w:szCs w:val="32"/>
                <w:highlight w:val="none"/>
              </w:rPr>
              <w:t>WindowsServer 操作系统。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数据库</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3套</w:t>
            </w:r>
            <w:r>
              <w:rPr>
                <w:rFonts w:hint="eastAsia" w:ascii="仿宋_GB2312" w:hAnsi="仿宋_GB2312" w:eastAsia="仿宋_GB2312" w:cs="仿宋_GB2312"/>
                <w:sz w:val="32"/>
                <w:szCs w:val="32"/>
                <w:highlight w:val="none"/>
              </w:rPr>
              <w:t>mysql数据库。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中间件</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1套resin</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6套nginx。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应用软件系统</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门户网站、公共资源交易系统、场地信息发布系统、</w:t>
            </w:r>
            <w:r>
              <w:rPr>
                <w:rFonts w:hint="eastAsia" w:ascii="仿宋_GB2312" w:hAnsi="仿宋_GB2312" w:eastAsia="仿宋_GB2312" w:cs="仿宋_GB2312"/>
                <w:sz w:val="32"/>
                <w:szCs w:val="32"/>
                <w:highlight w:val="none"/>
                <w:lang w:val="en-US" w:eastAsia="zh-CN"/>
              </w:rPr>
              <w:t>场地管理系统</w:t>
            </w:r>
            <w:r>
              <w:rPr>
                <w:rFonts w:hint="eastAsia" w:ascii="仿宋_GB2312" w:hAnsi="仿宋_GB2312" w:eastAsia="仿宋_GB2312" w:cs="仿宋_GB2312"/>
                <w:sz w:val="32"/>
                <w:szCs w:val="32"/>
                <w:highlight w:val="none"/>
              </w:rPr>
              <w:t>、监管平台（音视频监控的直播点播）</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应用支撑平台（数据交换、报表服务、检索服务</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trPr>
        <w:tc>
          <w:tcPr>
            <w:tcW w:w="74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资产管理</w:t>
            </w: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资产管理</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对西城</w:t>
            </w:r>
            <w:r>
              <w:rPr>
                <w:rFonts w:hint="eastAsia" w:ascii="仿宋_GB2312" w:hAnsi="仿宋_GB2312" w:eastAsia="仿宋_GB2312" w:cs="仿宋_GB2312"/>
                <w:sz w:val="32"/>
                <w:szCs w:val="32"/>
                <w:highlight w:val="none"/>
                <w:lang w:val="en-US" w:eastAsia="zh-CN"/>
              </w:rPr>
              <w:t>区</w:t>
            </w:r>
            <w:r>
              <w:rPr>
                <w:rFonts w:hint="eastAsia" w:ascii="仿宋_GB2312" w:hAnsi="仿宋_GB2312" w:eastAsia="仿宋_GB2312" w:cs="仿宋_GB2312"/>
                <w:sz w:val="32"/>
                <w:szCs w:val="32"/>
                <w:highlight w:val="none"/>
              </w:rPr>
              <w:t>分平台信息系统所涉及的信息资产</w:t>
            </w:r>
            <w:r>
              <w:rPr>
                <w:rFonts w:hint="eastAsia" w:ascii="仿宋_GB2312" w:hAnsi="仿宋_GB2312" w:eastAsia="仿宋_GB2312" w:cs="仿宋_GB2312"/>
                <w:sz w:val="32"/>
                <w:szCs w:val="32"/>
                <w:highlight w:val="none"/>
                <w:lang w:val="en-US" w:eastAsia="zh-CN"/>
              </w:rPr>
              <w:t>进行</w:t>
            </w:r>
            <w:r>
              <w:rPr>
                <w:rFonts w:hint="eastAsia" w:ascii="仿宋_GB2312" w:hAnsi="仿宋_GB2312" w:eastAsia="仿宋_GB2312" w:cs="仿宋_GB2312"/>
                <w:sz w:val="32"/>
                <w:szCs w:val="32"/>
                <w:highlight w:val="none"/>
              </w:rPr>
              <w:t>分类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登记和管理。</w:t>
            </w:r>
            <w:r>
              <w:rPr>
                <w:rFonts w:hint="eastAsia" w:ascii="仿宋_GB2312" w:hAnsi="仿宋_GB2312" w:eastAsia="仿宋_GB2312" w:cs="仿宋_GB2312"/>
                <w:sz w:val="32"/>
                <w:szCs w:val="32"/>
                <w:highlight w:val="none"/>
                <w:lang w:val="en-US" w:eastAsia="zh-CN"/>
              </w:rPr>
              <w:t>包括统计、登记和管理服务器设备型号、数量和版本，软件产品型号、版本和补丁，网络结构、网络路由、网络IP地址和其它附属设备等信息。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版本管理</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记录和管理</w:t>
            </w:r>
            <w:r>
              <w:rPr>
                <w:rFonts w:hint="eastAsia" w:ascii="仿宋_GB2312" w:hAnsi="仿宋_GB2312" w:eastAsia="仿宋_GB2312" w:cs="仿宋_GB2312"/>
                <w:sz w:val="32"/>
                <w:szCs w:val="32"/>
                <w:highlight w:val="none"/>
              </w:rPr>
              <w:t>操作系统、数据库、中间件、应用系统</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版本。每月定期</w:t>
            </w:r>
            <w:r>
              <w:rPr>
                <w:rFonts w:hint="eastAsia" w:ascii="仿宋_GB2312" w:hAnsi="仿宋_GB2312" w:eastAsia="仿宋_GB2312" w:cs="仿宋_GB2312"/>
                <w:sz w:val="32"/>
                <w:szCs w:val="32"/>
                <w:highlight w:val="none"/>
                <w:lang w:val="en-US" w:eastAsia="zh-CN"/>
              </w:rPr>
              <w:t>查询</w:t>
            </w:r>
            <w:r>
              <w:rPr>
                <w:rFonts w:hint="eastAsia" w:ascii="仿宋_GB2312" w:hAnsi="仿宋_GB2312" w:eastAsia="仿宋_GB2312" w:cs="仿宋_GB2312"/>
                <w:sz w:val="32"/>
                <w:szCs w:val="32"/>
                <w:highlight w:val="none"/>
              </w:rPr>
              <w:t>操作系统、数据库、中间件、第三方组件</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版本更新，发现更新版本后，</w:t>
            </w:r>
            <w:r>
              <w:rPr>
                <w:rFonts w:hint="eastAsia" w:ascii="仿宋_GB2312" w:hAnsi="仿宋_GB2312" w:eastAsia="仿宋_GB2312" w:cs="仿宋_GB2312"/>
                <w:sz w:val="32"/>
                <w:szCs w:val="32"/>
                <w:highlight w:val="none"/>
                <w:lang w:val="en-US" w:eastAsia="zh-CN"/>
              </w:rPr>
              <w:t>及时分析</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并</w:t>
            </w:r>
            <w:r>
              <w:rPr>
                <w:rFonts w:hint="eastAsia" w:ascii="仿宋_GB2312" w:hAnsi="仿宋_GB2312" w:eastAsia="仿宋_GB2312" w:cs="仿宋_GB2312"/>
                <w:sz w:val="32"/>
                <w:szCs w:val="32"/>
                <w:highlight w:val="none"/>
              </w:rPr>
              <w:t>整理</w:t>
            </w:r>
            <w:r>
              <w:rPr>
                <w:rFonts w:hint="eastAsia" w:ascii="仿宋_GB2312" w:hAnsi="仿宋_GB2312" w:eastAsia="仿宋_GB2312" w:cs="仿宋_GB2312"/>
                <w:sz w:val="32"/>
                <w:szCs w:val="32"/>
                <w:highlight w:val="none"/>
                <w:lang w:val="en-US" w:eastAsia="zh-CN"/>
              </w:rPr>
              <w:t>和提交</w:t>
            </w:r>
            <w:r>
              <w:rPr>
                <w:rFonts w:hint="eastAsia" w:ascii="仿宋_GB2312" w:hAnsi="仿宋_GB2312" w:eastAsia="仿宋_GB2312" w:cs="仿宋_GB2312"/>
                <w:sz w:val="32"/>
                <w:szCs w:val="32"/>
                <w:highlight w:val="none"/>
              </w:rPr>
              <w:t>版本更新方案。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4" w:hRule="atLeast"/>
        </w:trPr>
        <w:tc>
          <w:tcPr>
            <w:tcW w:w="74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日常巡检</w:t>
            </w: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运维工作计划及</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总结</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年度运维：</w:t>
            </w:r>
            <w:r>
              <w:rPr>
                <w:rFonts w:hint="eastAsia" w:ascii="仿宋_GB2312" w:hAnsi="仿宋_GB2312" w:eastAsia="仿宋_GB2312" w:cs="仿宋_GB2312"/>
                <w:sz w:val="32"/>
                <w:szCs w:val="32"/>
                <w:highlight w:val="none"/>
              </w:rPr>
              <w:t>制定年度运维工作计划，编写</w:t>
            </w:r>
            <w:r>
              <w:rPr>
                <w:rFonts w:hint="eastAsia" w:ascii="仿宋_GB2312" w:hAnsi="仿宋_GB2312" w:eastAsia="仿宋_GB2312" w:cs="仿宋_GB2312"/>
                <w:sz w:val="32"/>
                <w:szCs w:val="32"/>
                <w:highlight w:val="none"/>
                <w:lang w:val="en-US" w:eastAsia="zh-CN"/>
              </w:rPr>
              <w:t>中期运维报告、</w:t>
            </w:r>
            <w:r>
              <w:rPr>
                <w:rFonts w:hint="eastAsia" w:ascii="仿宋_GB2312" w:hAnsi="仿宋_GB2312" w:eastAsia="仿宋_GB2312" w:cs="仿宋_GB2312"/>
                <w:sz w:val="32"/>
                <w:szCs w:val="32"/>
                <w:highlight w:val="none"/>
              </w:rPr>
              <w:t>年度运维</w:t>
            </w:r>
            <w:r>
              <w:rPr>
                <w:rFonts w:hint="eastAsia" w:ascii="仿宋_GB2312" w:hAnsi="仿宋_GB2312" w:eastAsia="仿宋_GB2312" w:cs="仿宋_GB2312"/>
                <w:sz w:val="32"/>
                <w:szCs w:val="32"/>
                <w:highlight w:val="none"/>
                <w:lang w:val="en-US" w:eastAsia="zh-CN"/>
              </w:rPr>
              <w:t>报告和最新的项目技术文档（包括但不限于最新的电子文档、技术方案和运维手册等）。</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highlight w:val="none"/>
                <w:lang w:val="en-US" w:eastAsia="zh-CN"/>
              </w:rPr>
            </w:pPr>
            <w:r>
              <w:rPr>
                <w:rFonts w:hint="eastAsia" w:ascii="仿宋_GB2312" w:hAnsi="仿宋_GB2312" w:eastAsia="仿宋_GB2312" w:cs="仿宋_GB2312"/>
                <w:sz w:val="32"/>
                <w:szCs w:val="32"/>
                <w:highlight w:val="none"/>
                <w:lang w:val="en-US" w:eastAsia="zh-CN"/>
              </w:rPr>
              <w:t>专项运维：按照区数据局要求定期扫描漏洞，并根据扫描结果及时整改相关问题。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运行监控</w:t>
            </w: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网络监控</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每周至少3次</w:t>
            </w:r>
            <w:r>
              <w:rPr>
                <w:rFonts w:hint="eastAsia" w:ascii="仿宋_GB2312" w:hAnsi="仿宋_GB2312" w:eastAsia="仿宋_GB2312" w:cs="仿宋_GB2312"/>
                <w:sz w:val="32"/>
                <w:szCs w:val="32"/>
                <w:highlight w:val="none"/>
              </w:rPr>
              <w:t>，监控运维范围内网络区域网络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如发现异常及时上报处置</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主机监控</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每周至少3次</w:t>
            </w:r>
            <w:r>
              <w:rPr>
                <w:rFonts w:hint="eastAsia" w:ascii="仿宋_GB2312" w:hAnsi="仿宋_GB2312" w:eastAsia="仿宋_GB2312" w:cs="仿宋_GB2312"/>
                <w:sz w:val="32"/>
                <w:szCs w:val="32"/>
                <w:highlight w:val="none"/>
              </w:rPr>
              <w:t>，监控运维范围内服务器运行状态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如发现异常及时上报处置</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数据库监控</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val="en-US" w:eastAsia="zh-CN"/>
              </w:rPr>
              <w:t>个</w:t>
            </w:r>
            <w:r>
              <w:rPr>
                <w:rFonts w:hint="eastAsia" w:ascii="仿宋_GB2312" w:hAnsi="仿宋_GB2312" w:eastAsia="仿宋_GB2312" w:cs="仿宋_GB2312"/>
                <w:sz w:val="32"/>
                <w:szCs w:val="32"/>
                <w:highlight w:val="none"/>
              </w:rPr>
              <w:t>工作日1 次，监控运维范围内数据库系统运行状态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如发现异常及时上报处置</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中间件监控</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val="en-US" w:eastAsia="zh-CN"/>
              </w:rPr>
              <w:t>个</w:t>
            </w:r>
            <w:r>
              <w:rPr>
                <w:rFonts w:hint="eastAsia" w:ascii="仿宋_GB2312" w:hAnsi="仿宋_GB2312" w:eastAsia="仿宋_GB2312" w:cs="仿宋_GB2312"/>
                <w:sz w:val="32"/>
                <w:szCs w:val="32"/>
                <w:highlight w:val="none"/>
              </w:rPr>
              <w:t>工作日1 次，监控Nginx</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resin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中间件软件运行状态,线程连接数情况等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如发现异常及时上报处置。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应用系统监控</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eastAsia="zh-CN"/>
              </w:rPr>
              <w:t>个</w:t>
            </w:r>
            <w:r>
              <w:rPr>
                <w:rFonts w:hint="eastAsia" w:ascii="仿宋_GB2312" w:hAnsi="仿宋_GB2312" w:eastAsia="仿宋_GB2312" w:cs="仿宋_GB2312"/>
                <w:sz w:val="32"/>
                <w:szCs w:val="32"/>
                <w:highlight w:val="none"/>
              </w:rPr>
              <w:t>工作日1 次，监控重点功能</w:t>
            </w:r>
            <w:r>
              <w:rPr>
                <w:rFonts w:hint="eastAsia" w:ascii="仿宋_GB2312" w:hAnsi="仿宋_GB2312" w:eastAsia="仿宋_GB2312" w:cs="仿宋_GB2312"/>
                <w:sz w:val="32"/>
                <w:szCs w:val="32"/>
                <w:highlight w:val="none"/>
                <w:lang w:val="en-US" w:eastAsia="zh-CN"/>
              </w:rPr>
              <w:t>和各类应用系统功能</w:t>
            </w:r>
            <w:r>
              <w:rPr>
                <w:rFonts w:hint="eastAsia" w:ascii="仿宋_GB2312" w:hAnsi="仿宋_GB2312" w:eastAsia="仿宋_GB2312" w:cs="仿宋_GB2312"/>
                <w:sz w:val="32"/>
                <w:szCs w:val="32"/>
                <w:highlight w:val="none"/>
              </w:rPr>
              <w:t>运行状态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如发现异常及时上报处置</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可用性检查</w:t>
            </w: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对外服务接口功能检查</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val="en-US" w:eastAsia="zh-CN"/>
              </w:rPr>
              <w:t>个</w:t>
            </w:r>
            <w:r>
              <w:rPr>
                <w:rFonts w:hint="eastAsia" w:ascii="仿宋_GB2312" w:hAnsi="仿宋_GB2312" w:eastAsia="仿宋_GB2312" w:cs="仿宋_GB2312"/>
                <w:sz w:val="32"/>
                <w:szCs w:val="32"/>
                <w:highlight w:val="none"/>
              </w:rPr>
              <w:t>工作日1 次，检查各数据共享接口</w:t>
            </w:r>
            <w:r>
              <w:rPr>
                <w:rFonts w:hint="eastAsia" w:ascii="仿宋_GB2312" w:hAnsi="仿宋_GB2312" w:eastAsia="仿宋_GB2312" w:cs="仿宋_GB2312"/>
                <w:sz w:val="32"/>
                <w:szCs w:val="32"/>
                <w:highlight w:val="none"/>
                <w:lang w:val="en-US" w:eastAsia="zh-CN"/>
              </w:rPr>
              <w:t>是否能</w:t>
            </w:r>
            <w:r>
              <w:rPr>
                <w:rFonts w:hint="eastAsia" w:ascii="仿宋_GB2312" w:hAnsi="仿宋_GB2312" w:eastAsia="仿宋_GB2312" w:cs="仿宋_GB2312"/>
                <w:sz w:val="32"/>
                <w:szCs w:val="32"/>
                <w:highlight w:val="none"/>
              </w:rPr>
              <w:t>正常获取对方提交数据</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对外提供数据接口服务功能是否正常。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应用系统人机交互功能检查</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val="en-US" w:eastAsia="zh-CN"/>
              </w:rPr>
              <w:t>个</w:t>
            </w:r>
            <w:r>
              <w:rPr>
                <w:rFonts w:hint="eastAsia" w:ascii="仿宋_GB2312" w:hAnsi="仿宋_GB2312" w:eastAsia="仿宋_GB2312" w:cs="仿宋_GB2312"/>
                <w:sz w:val="32"/>
                <w:szCs w:val="32"/>
                <w:highlight w:val="none"/>
              </w:rPr>
              <w:t>工作日1 次，</w:t>
            </w:r>
            <w:r>
              <w:rPr>
                <w:rFonts w:hint="eastAsia" w:ascii="仿宋_GB2312" w:hAnsi="仿宋_GB2312" w:eastAsia="仿宋_GB2312" w:cs="仿宋_GB2312"/>
                <w:sz w:val="32"/>
                <w:szCs w:val="32"/>
                <w:highlight w:val="none"/>
                <w:lang w:val="en-US" w:eastAsia="zh-CN"/>
              </w:rPr>
              <w:t>由专人人工</w:t>
            </w:r>
            <w:r>
              <w:rPr>
                <w:rFonts w:hint="eastAsia" w:ascii="仿宋_GB2312" w:hAnsi="仿宋_GB2312" w:eastAsia="仿宋_GB2312" w:cs="仿宋_GB2312"/>
                <w:sz w:val="32"/>
                <w:szCs w:val="32"/>
                <w:highlight w:val="none"/>
              </w:rPr>
              <w:t>检查应用系统人机交互功能是否能够正常访问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检查范围包括：门户网站、交易系统、信息发布系统、公共资源交易监管平台等</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数据检查</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val="en-US" w:eastAsia="zh-CN"/>
              </w:rPr>
              <w:t>个</w:t>
            </w:r>
            <w:r>
              <w:rPr>
                <w:rFonts w:hint="eastAsia" w:ascii="仿宋_GB2312" w:hAnsi="仿宋_GB2312" w:eastAsia="仿宋_GB2312" w:cs="仿宋_GB2312"/>
                <w:sz w:val="32"/>
                <w:szCs w:val="32"/>
                <w:highlight w:val="none"/>
              </w:rPr>
              <w:t>工作日1 次，检查推送至北京市公共资源交易服务平台数据是否正常，检查北京市组织机构代码库、全国公共资源交易平台等各政务业务系统共享数据</w:t>
            </w:r>
            <w:r>
              <w:rPr>
                <w:rFonts w:hint="eastAsia" w:ascii="仿宋_GB2312" w:hAnsi="仿宋_GB2312" w:eastAsia="仿宋_GB2312" w:cs="仿宋_GB2312"/>
                <w:sz w:val="32"/>
                <w:szCs w:val="32"/>
                <w:highlight w:val="none"/>
                <w:lang w:val="en-US" w:eastAsia="zh-CN"/>
              </w:rPr>
              <w:t>是否</w:t>
            </w:r>
            <w:r>
              <w:rPr>
                <w:rFonts w:hint="eastAsia" w:ascii="仿宋_GB2312" w:hAnsi="仿宋_GB2312" w:eastAsia="仿宋_GB2312" w:cs="仿宋_GB2312"/>
                <w:sz w:val="32"/>
                <w:szCs w:val="32"/>
                <w:highlight w:val="none"/>
              </w:rPr>
              <w:t>正常获取，检查向北京市专家库共享的数据是否正常。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机房巡检</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每周对场地</w:t>
            </w:r>
            <w:r>
              <w:rPr>
                <w:rFonts w:hint="eastAsia" w:ascii="仿宋_GB2312" w:hAnsi="仿宋_GB2312" w:eastAsia="仿宋_GB2312" w:cs="仿宋_GB2312"/>
                <w:sz w:val="32"/>
                <w:szCs w:val="32"/>
                <w:highlight w:val="none"/>
                <w:lang w:val="en-US" w:eastAsia="zh-CN"/>
              </w:rPr>
              <w:t>内信息</w:t>
            </w:r>
            <w:r>
              <w:rPr>
                <w:rFonts w:hint="eastAsia" w:ascii="仿宋_GB2312" w:hAnsi="仿宋_GB2312" w:eastAsia="仿宋_GB2312" w:cs="仿宋_GB2312"/>
                <w:sz w:val="32"/>
                <w:szCs w:val="32"/>
                <w:highlight w:val="none"/>
              </w:rPr>
              <w:t>机房</w:t>
            </w:r>
            <w:r>
              <w:rPr>
                <w:rFonts w:hint="eastAsia" w:ascii="仿宋_GB2312" w:hAnsi="仿宋_GB2312" w:eastAsia="仿宋_GB2312" w:cs="仿宋_GB2312"/>
                <w:sz w:val="32"/>
                <w:szCs w:val="32"/>
                <w:highlight w:val="none"/>
                <w:lang w:val="en-US" w:eastAsia="zh-CN"/>
              </w:rPr>
              <w:t>至少</w:t>
            </w:r>
            <w:r>
              <w:rPr>
                <w:rFonts w:hint="eastAsia" w:ascii="仿宋_GB2312" w:hAnsi="仿宋_GB2312" w:eastAsia="仿宋_GB2312" w:cs="仿宋_GB2312"/>
                <w:sz w:val="32"/>
                <w:szCs w:val="32"/>
                <w:highlight w:val="none"/>
              </w:rPr>
              <w:t>巡检</w:t>
            </w:r>
            <w:r>
              <w:rPr>
                <w:rFonts w:hint="eastAsia" w:ascii="仿宋_GB2312" w:hAnsi="仿宋_GB2312" w:eastAsia="仿宋_GB2312" w:cs="仿宋_GB2312"/>
                <w:sz w:val="32"/>
                <w:szCs w:val="32"/>
                <w:highlight w:val="none"/>
                <w:lang w:val="en-US" w:eastAsia="zh-CN"/>
              </w:rPr>
              <w:t>1次</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公共区域设备巡检</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每周对场地内公共区域设备</w:t>
            </w:r>
            <w:r>
              <w:rPr>
                <w:rFonts w:hint="eastAsia" w:ascii="仿宋_GB2312" w:hAnsi="仿宋_GB2312" w:eastAsia="仿宋_GB2312" w:cs="仿宋_GB2312"/>
                <w:sz w:val="32"/>
                <w:szCs w:val="32"/>
                <w:highlight w:val="none"/>
                <w:lang w:val="en-US" w:eastAsia="zh-CN"/>
              </w:rPr>
              <w:t>至少</w:t>
            </w:r>
            <w:r>
              <w:rPr>
                <w:rFonts w:hint="eastAsia" w:ascii="仿宋_GB2312" w:hAnsi="仿宋_GB2312" w:eastAsia="仿宋_GB2312" w:cs="仿宋_GB2312"/>
                <w:sz w:val="32"/>
                <w:szCs w:val="32"/>
                <w:highlight w:val="none"/>
              </w:rPr>
              <w:t>巡检</w:t>
            </w:r>
            <w:r>
              <w:rPr>
                <w:rFonts w:hint="eastAsia" w:ascii="仿宋_GB2312" w:hAnsi="仿宋_GB2312" w:eastAsia="仿宋_GB2312" w:cs="仿宋_GB2312"/>
                <w:sz w:val="32"/>
                <w:szCs w:val="32"/>
                <w:highlight w:val="none"/>
                <w:lang w:val="en-US" w:eastAsia="zh-CN"/>
              </w:rPr>
              <w:t>1次</w:t>
            </w:r>
            <w:r>
              <w:rPr>
                <w:rFonts w:hint="eastAsia" w:ascii="仿宋_GB2312" w:hAnsi="仿宋_GB2312" w:eastAsia="仿宋_GB2312" w:cs="仿宋_GB2312"/>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0" w:hRule="atLeast"/>
        </w:trPr>
        <w:tc>
          <w:tcPr>
            <w:tcW w:w="74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基础维护</w:t>
            </w:r>
          </w:p>
        </w:tc>
        <w:tc>
          <w:tcPr>
            <w:tcW w:w="70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补丁安装</w:t>
            </w: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操作系统补丁安装</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根据操作系统安全检查结果，制定详细的补丁</w:t>
            </w:r>
            <w:r>
              <w:rPr>
                <w:rFonts w:hint="eastAsia" w:ascii="仿宋_GB2312" w:hAnsi="仿宋_GB2312" w:eastAsia="仿宋_GB2312" w:cs="仿宋_GB2312"/>
                <w:sz w:val="32"/>
                <w:szCs w:val="32"/>
                <w:highlight w:val="none"/>
              </w:rPr>
              <w:t>加固计划</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方案，对补丁进行兼容性测试，并对操作系统进行安全补丁加固，确保操作系统安全稳定运行。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701"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中间件补丁安装</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根据中间件安全检查结果，制定详细的补丁加固计划</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方案，对补丁进行兼容性测试，并对中间件进行安全补丁加固，确保中间件安全稳定运行。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账号及权限管理</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账户维护和权限管理，包括</w:t>
            </w:r>
            <w:r>
              <w:rPr>
                <w:rFonts w:hint="eastAsia" w:ascii="仿宋_GB2312" w:hAnsi="仿宋_GB2312" w:eastAsia="仿宋_GB2312" w:cs="仿宋_GB2312"/>
                <w:sz w:val="32"/>
                <w:szCs w:val="32"/>
                <w:highlight w:val="none"/>
              </w:rPr>
              <w:t>操作系统、数据库、网络设备、安全设备等。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策略及配置管理</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操作系统策略和配置管理，包括主机防火墙、重要系统策略的配置、变更等。</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eastAsiaTheme="minorEastAsia"/>
                <w:highlight w:val="none"/>
                <w:lang w:val="en-US" w:eastAsia="zh-CN"/>
              </w:rPr>
            </w:pPr>
            <w:r>
              <w:rPr>
                <w:rFonts w:hint="eastAsia" w:ascii="仿宋_GB2312" w:hAnsi="仿宋_GB2312" w:eastAsia="仿宋_GB2312" w:cs="仿宋_GB2312"/>
                <w:sz w:val="32"/>
                <w:szCs w:val="32"/>
                <w:highlight w:val="none"/>
                <w:lang w:val="en-US" w:eastAsia="zh-CN"/>
              </w:rPr>
              <w:t>数据库策略和配置管理，包括数据实例、索引创建优化、相关授权配置、数据库主从结构的配置和调整等。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数据的日常维护</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每个工作日检查和维护数据库实例主键约束、字段类型范围等关于数据完整性规则。</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每月检查数据表之间关联关系，修复问题数据，保障数据安全。</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每天检查数据库备份功能是否正常，核查备份数据是否正常，每月验证备份数据恢复。</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highlight w:val="none"/>
              </w:rPr>
            </w:pPr>
            <w:r>
              <w:rPr>
                <w:rFonts w:hint="eastAsia" w:ascii="仿宋_GB2312" w:hAnsi="仿宋_GB2312" w:eastAsia="仿宋_GB2312" w:cs="仿宋_GB2312"/>
                <w:sz w:val="32"/>
                <w:szCs w:val="32"/>
                <w:highlight w:val="none"/>
                <w:lang w:val="en-US" w:eastAsia="zh-CN"/>
              </w:rPr>
              <w:t>每季度优化数据库索引、优化数据库空间。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技术支持网站内容运维</w:t>
            </w: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内容管理</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完善和改进网站主站，进行网站的内容采集、加工、上传、分发、管理</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在</w:t>
            </w:r>
            <w:r>
              <w:rPr>
                <w:rFonts w:hint="eastAsia" w:ascii="仿宋_GB2312" w:hAnsi="仿宋_GB2312" w:eastAsia="仿宋_GB2312" w:cs="仿宋_GB2312"/>
                <w:sz w:val="32"/>
                <w:szCs w:val="32"/>
                <w:highlight w:val="none"/>
              </w:rPr>
              <w:t>国家重大节日、重大会议、重大事件期间</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保持</w:t>
            </w:r>
            <w:r>
              <w:rPr>
                <w:rFonts w:hint="eastAsia" w:ascii="仿宋_GB2312" w:hAnsi="仿宋_GB2312" w:eastAsia="仿宋_GB2312" w:cs="仿宋_GB2312"/>
                <w:sz w:val="32"/>
                <w:szCs w:val="32"/>
                <w:highlight w:val="none"/>
              </w:rPr>
              <w:t>24小时编辑响应服务</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每月制作工作简报。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trPr>
        <w:tc>
          <w:tcPr>
            <w:tcW w:w="742"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电话技术支持</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设立两部社会公开热线电话，提供</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*8小时驻场技术支持</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sz w:val="32"/>
                <w:szCs w:val="3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trPr>
        <w:tc>
          <w:tcPr>
            <w:tcW w:w="742"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在线技术支持</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通过微信群</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电子邮箱，提供24小时在线技术支持</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sz w:val="32"/>
                <w:szCs w:val="3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应急管理和处</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置</w:t>
            </w: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应急预案</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制定和定期修订系统和重点业务应急预案。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应急演练</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eastAsia="zh-CN"/>
              </w:rPr>
              <w:t>每年至少2次，对门户网站、交易系统、监管平台等子系统数据备份与恢复开展应急演练。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742"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p>
        </w:tc>
        <w:tc>
          <w:tcPr>
            <w:tcW w:w="169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应急处置</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一般性事件：工作时间1小时之内启动应急响应，非工作时间2小时之内启动应急响应，在4小时之内恢复业务正常运行。</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highlight w:val="none"/>
                <w:lang w:val="en-US" w:eastAsia="zh-CN"/>
              </w:rPr>
            </w:pPr>
            <w:r>
              <w:rPr>
                <w:rFonts w:hint="eastAsia" w:ascii="仿宋_GB2312" w:hAnsi="仿宋_GB2312" w:eastAsia="仿宋_GB2312" w:cs="仿宋_GB2312"/>
                <w:sz w:val="32"/>
                <w:szCs w:val="32"/>
                <w:highlight w:val="none"/>
                <w:lang w:val="en-US" w:eastAsia="zh-CN"/>
              </w:rPr>
              <w:t>重大事件：工作时间10分钟之内启动应急响应，非工作时间20分钟之内启动应急响应，在30分钟之内恢复业务正常运行。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trPr>
        <w:tc>
          <w:tcPr>
            <w:tcW w:w="2433"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重点时期保障</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在国家重大节日、重大会议和重大事件期间，确保24小时提供响应服务</w:t>
            </w:r>
            <w:r>
              <w:rPr>
                <w:rFonts w:hint="eastAsia" w:ascii="仿宋_GB2312" w:hAnsi="仿宋_GB2312" w:eastAsia="仿宋_GB2312" w:cs="仿宋_GB2312"/>
                <w:sz w:val="32"/>
                <w:szCs w:val="3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2433"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驻场</w:t>
            </w:r>
            <w:r>
              <w:rPr>
                <w:rFonts w:hint="eastAsia" w:ascii="仿宋_GB2312" w:hAnsi="仿宋_GB2312" w:eastAsia="仿宋_GB2312" w:cs="仿宋_GB2312"/>
                <w:sz w:val="32"/>
                <w:szCs w:val="32"/>
                <w:highlight w:val="none"/>
              </w:rPr>
              <w:t>运维人员</w:t>
            </w:r>
            <w:r>
              <w:rPr>
                <w:rFonts w:hint="eastAsia" w:ascii="仿宋_GB2312" w:hAnsi="仿宋_GB2312" w:eastAsia="仿宋_GB2312" w:cs="仿宋_GB2312"/>
                <w:sz w:val="32"/>
                <w:szCs w:val="32"/>
                <w:highlight w:val="none"/>
                <w:lang w:val="en-US" w:eastAsia="zh-CN"/>
              </w:rPr>
              <w:t>资质</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驻场</w:t>
            </w:r>
            <w:r>
              <w:rPr>
                <w:rFonts w:hint="eastAsia" w:ascii="仿宋_GB2312" w:hAnsi="仿宋_GB2312" w:eastAsia="仿宋_GB2312" w:cs="仿宋_GB2312"/>
                <w:sz w:val="32"/>
                <w:szCs w:val="32"/>
                <w:highlight w:val="none"/>
              </w:rPr>
              <w:t>运维人员</w:t>
            </w:r>
            <w:r>
              <w:rPr>
                <w:rFonts w:hint="eastAsia" w:ascii="仿宋_GB2312" w:hAnsi="仿宋_GB2312" w:eastAsia="仿宋_GB2312" w:cs="仿宋_GB2312"/>
                <w:sz w:val="32"/>
                <w:szCs w:val="32"/>
                <w:highlight w:val="none"/>
                <w:lang w:val="en-US" w:eastAsia="zh-CN"/>
              </w:rPr>
              <w:t>如具备以下证书，应在拟驻场运维人员简历中提供</w:t>
            </w:r>
            <w:r>
              <w:rPr>
                <w:rFonts w:hint="eastAsia" w:ascii="仿宋_GB2312" w:hAnsi="仿宋_GB2312" w:eastAsia="仿宋_GB2312" w:cs="仿宋_GB2312"/>
                <w:sz w:val="32"/>
                <w:szCs w:val="32"/>
                <w:highlight w:val="none"/>
              </w:rPr>
              <w:t>：</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IT</w:t>
            </w:r>
            <w:r>
              <w:rPr>
                <w:rFonts w:hint="eastAsia" w:ascii="仿宋_GB2312" w:hAnsi="仿宋_GB2312" w:eastAsia="仿宋_GB2312" w:cs="仿宋_GB2312"/>
                <w:sz w:val="32"/>
                <w:szCs w:val="32"/>
                <w:highlight w:val="none"/>
              </w:rPr>
              <w:t>运维工程师证书</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软件工程师证书</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（3）PMP</w:t>
            </w:r>
            <w:r>
              <w:rPr>
                <w:rFonts w:hint="eastAsia" w:ascii="仿宋_GB2312" w:hAnsi="仿宋_GB2312" w:eastAsia="仿宋_GB2312" w:cs="仿宋_GB2312"/>
                <w:sz w:val="32"/>
                <w:szCs w:val="32"/>
                <w:highlight w:val="none"/>
              </w:rPr>
              <w:t>项目管理</w:t>
            </w:r>
            <w:r>
              <w:rPr>
                <w:rFonts w:hint="eastAsia" w:ascii="仿宋_GB2312" w:hAnsi="仿宋_GB2312" w:eastAsia="仿宋_GB2312" w:cs="仿宋_GB2312"/>
                <w:sz w:val="32"/>
                <w:szCs w:val="32"/>
                <w:highlight w:val="none"/>
                <w:lang w:val="en-US" w:eastAsia="zh-CN"/>
              </w:rPr>
              <w:t>工程师</w:t>
            </w:r>
            <w:r>
              <w:rPr>
                <w:rFonts w:hint="eastAsia" w:ascii="仿宋_GB2312" w:hAnsi="仿宋_GB2312" w:eastAsia="仿宋_GB2312" w:cs="仿宋_GB2312"/>
                <w:sz w:val="32"/>
                <w:szCs w:val="32"/>
                <w:highlight w:val="none"/>
              </w:rPr>
              <w:t>证书</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（4）计算机技术与软件资格证书。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2433"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其他相关事项</w:t>
            </w:r>
          </w:p>
        </w:tc>
        <w:tc>
          <w:tcPr>
            <w:tcW w:w="60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完成甲方交办的其</w:t>
            </w:r>
            <w:r>
              <w:rPr>
                <w:rFonts w:hint="eastAsia" w:ascii="仿宋_GB2312" w:hAnsi="仿宋_GB2312" w:eastAsia="仿宋_GB2312" w:cs="仿宋_GB2312"/>
                <w:sz w:val="32"/>
                <w:szCs w:val="32"/>
                <w:highlight w:val="none"/>
                <w:lang w:val="en-US" w:eastAsia="zh-CN"/>
              </w:rPr>
              <w:t>他</w:t>
            </w:r>
            <w:r>
              <w:rPr>
                <w:rFonts w:hint="eastAsia" w:ascii="仿宋_GB2312" w:hAnsi="仿宋_GB2312" w:eastAsia="仿宋_GB2312" w:cs="仿宋_GB2312"/>
                <w:sz w:val="32"/>
                <w:szCs w:val="32"/>
                <w:highlight w:val="none"/>
              </w:rPr>
              <w:t>工作</w:t>
            </w:r>
            <w:r>
              <w:rPr>
                <w:rFonts w:hint="eastAsia" w:ascii="仿宋_GB2312" w:hAnsi="仿宋_GB2312" w:eastAsia="仿宋_GB2312" w:cs="仿宋_GB2312"/>
                <w:sz w:val="32"/>
                <w:szCs w:val="32"/>
                <w:highlight w:val="none"/>
                <w:lang w:eastAsia="zh-CN"/>
              </w:rPr>
              <w:t>。</w:t>
            </w:r>
          </w:p>
        </w:tc>
      </w:tr>
    </w:tbl>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Calibri" w:eastAsia="黑体"/>
          <w:bCs/>
          <w:sz w:val="32"/>
          <w:szCs w:val="32"/>
          <w:highlight w:val="none"/>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Calibri" w:eastAsia="黑体"/>
          <w:bCs/>
          <w:sz w:val="32"/>
          <w:szCs w:val="32"/>
          <w:highlight w:val="none"/>
        </w:rPr>
      </w:pPr>
      <w:r>
        <w:rPr>
          <w:rFonts w:hint="eastAsia" w:ascii="黑体" w:hAnsi="Calibri" w:eastAsia="黑体"/>
          <w:bCs/>
          <w:sz w:val="32"/>
          <w:szCs w:val="32"/>
          <w:highlight w:val="none"/>
        </w:rPr>
        <w:t>二、资格要求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满足《中华人民共和国政府采购法》第二十二条规定。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2.法定代表人</w:t>
      </w:r>
      <w:r>
        <w:rPr>
          <w:rFonts w:hint="eastAsia" w:ascii="仿宋_GB2312" w:hAnsi="仿宋_GB2312" w:eastAsia="仿宋_GB2312" w:cs="仿宋_GB2312"/>
          <w:sz w:val="32"/>
          <w:szCs w:val="32"/>
          <w:highlight w:val="none"/>
        </w:rPr>
        <w:t>为同一人或者存在直接控股关系的不同供应商，不得参加同一项目的比选</w:t>
      </w:r>
      <w:r>
        <w:rPr>
          <w:rFonts w:hint="eastAsia" w:ascii="仿宋_GB2312" w:hAnsi="仿宋_GB2312" w:eastAsia="仿宋_GB2312" w:cs="仿宋_GB2312"/>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黑体" w:hAnsi="Calibri" w:eastAsia="黑体"/>
          <w:bCs/>
          <w:sz w:val="32"/>
          <w:szCs w:val="32"/>
          <w:highlight w:val="none"/>
          <w:lang w:val="en-US" w:eastAsia="zh-CN"/>
        </w:rPr>
      </w:pPr>
      <w:r>
        <w:rPr>
          <w:rFonts w:hint="eastAsia" w:ascii="黑体" w:hAnsi="Calibri" w:eastAsia="黑体"/>
          <w:bCs/>
          <w:sz w:val="32"/>
          <w:szCs w:val="32"/>
          <w:highlight w:val="none"/>
          <w:lang w:val="en-US" w:eastAsia="zh-CN"/>
        </w:rPr>
        <w:t>三</w:t>
      </w:r>
      <w:r>
        <w:rPr>
          <w:rFonts w:hint="eastAsia" w:ascii="黑体" w:hAnsi="Calibri" w:eastAsia="黑体"/>
          <w:bCs/>
          <w:sz w:val="32"/>
          <w:szCs w:val="32"/>
          <w:highlight w:val="none"/>
        </w:rPr>
        <w:t>、</w:t>
      </w:r>
      <w:r>
        <w:rPr>
          <w:rFonts w:hint="eastAsia" w:ascii="黑体" w:hAnsi="Calibri" w:eastAsia="黑体"/>
          <w:bCs/>
          <w:sz w:val="32"/>
          <w:szCs w:val="32"/>
          <w:highlight w:val="none"/>
          <w:lang w:val="en-US" w:eastAsia="zh-CN"/>
        </w:rPr>
        <w:t>材料清单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1.企业营业执照复印件（或事业单位法人证书）</w:t>
      </w:r>
      <w:r>
        <w:rPr>
          <w:rFonts w:hint="eastAsia" w:ascii="仿宋_GB2312" w:hAnsi="仿宋_GB2312" w:eastAsia="仿宋_GB2312" w:cs="仿宋_GB2312"/>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法定代表人身份证复印件；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3.如法定代表人不参加本次比选活动，应提供法定代表人授权委托书和被授权人身份证复印件，并注明委托日期；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4.企业基本情况介绍等，如具有相关项目经验，请提供；</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5.拟驻场运维人员简历，如具备相关工作经验和具体需求中列出的证书，请提供；</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7.本项目运维服务方案、报价单；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8.近一个月内“信用中国”公共信用信息报告；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9.近三年内无履约纠纷、无不良记录承诺书；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10.供应商资格声明书；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11.项目联系人及联系方式。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*以上文件均应加盖公章，按顺序装订成册，并在封面加盖</w:t>
      </w:r>
      <w:r>
        <w:rPr>
          <w:rFonts w:hint="eastAsia" w:ascii="仿宋_GB2312" w:hAnsi="仿宋_GB2312" w:eastAsia="仿宋_GB2312" w:cs="仿宋_GB2312"/>
          <w:sz w:val="32"/>
          <w:szCs w:val="32"/>
          <w:highlight w:val="none"/>
          <w:lang w:val="en-US" w:eastAsia="zh-CN"/>
        </w:rPr>
        <w:t>公章。</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Calibri" w:eastAsia="黑体"/>
          <w:bCs/>
          <w:sz w:val="32"/>
          <w:szCs w:val="32"/>
          <w:highlight w:val="none"/>
          <w:lang w:val="en-US" w:eastAsia="zh-CN"/>
        </w:rPr>
      </w:pPr>
      <w:r>
        <w:rPr>
          <w:rFonts w:hint="eastAsia" w:ascii="黑体" w:hAnsi="Calibri" w:eastAsia="黑体"/>
          <w:bCs/>
          <w:sz w:val="32"/>
          <w:szCs w:val="32"/>
          <w:highlight w:val="none"/>
          <w:lang w:val="en-US" w:eastAsia="zh-CN"/>
        </w:rPr>
        <w:t>四、申报时间及注意事项</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1.比选文件申报方式</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纸质版文件（一份原件、五份复印件）和电子版文件（由纸质版原件扫描制成PDF格式，刻录光盘），密封后邮寄至：北京市西城区公共资源交易中心（北京市西城区西直门内大街275号613室，联系电话：82141216），不接受现场报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所有申报文件均不予退还。</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2.申报时间</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Calibri" w:eastAsia="黑体"/>
          <w:bCs/>
          <w:sz w:val="32"/>
          <w:szCs w:val="32"/>
          <w:highlight w:val="none"/>
          <w:lang w:eastAsia="zh-CN"/>
        </w:rPr>
      </w:pPr>
      <w:r>
        <w:rPr>
          <w:rFonts w:hint="eastAsia" w:ascii="仿宋_GB2312" w:hAnsi="仿宋_GB2312" w:eastAsia="仿宋_GB2312" w:cs="仿宋_GB2312"/>
          <w:sz w:val="32"/>
          <w:szCs w:val="32"/>
          <w:highlight w:val="none"/>
          <w:lang w:val="en-US" w:eastAsia="zh-CN"/>
        </w:rPr>
        <w:t>自2026年9月20日17时至2026年9月28日17时止，接收时间以纸质版文件的快递签收时间为准，</w:t>
      </w:r>
      <w:r>
        <w:rPr>
          <w:rFonts w:hint="eastAsia" w:ascii="仿宋_GB2312" w:hAnsi="仿宋_GB2312" w:eastAsia="仿宋_GB2312" w:cs="仿宋_GB2312"/>
          <w:sz w:val="32"/>
          <w:szCs w:val="32"/>
          <w:highlight w:val="none"/>
          <w:lang w:eastAsia="zh-CN"/>
        </w:rPr>
        <w:t>逾期送达比选文件或送达的比选文件不符合本公告规定要求的</w:t>
      </w:r>
      <w:r>
        <w:rPr>
          <w:rFonts w:hint="eastAsia" w:ascii="仿宋_GB2312" w:hAnsi="仿宋_GB2312" w:eastAsia="仿宋_GB2312" w:cs="仿宋_GB2312"/>
          <w:sz w:val="32"/>
          <w:szCs w:val="32"/>
          <w:highlight w:val="none"/>
          <w:lang w:val="en-US" w:eastAsia="zh-CN"/>
        </w:rPr>
        <w:t>概</w:t>
      </w:r>
      <w:r>
        <w:rPr>
          <w:rFonts w:hint="eastAsia" w:ascii="仿宋_GB2312" w:hAnsi="仿宋_GB2312" w:eastAsia="仿宋_GB2312" w:cs="仿宋_GB2312"/>
          <w:sz w:val="32"/>
          <w:szCs w:val="32"/>
          <w:highlight w:val="none"/>
          <w:lang w:eastAsia="zh-CN"/>
        </w:rPr>
        <w:t>不接受。</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黑体" w:hAnsi="Calibri" w:eastAsia="黑体"/>
          <w:bCs/>
          <w:sz w:val="32"/>
          <w:szCs w:val="32"/>
          <w:highlight w:val="none"/>
        </w:rPr>
      </w:pPr>
      <w:r>
        <w:rPr>
          <w:rFonts w:hint="eastAsia" w:ascii="黑体" w:hAnsi="Calibri" w:eastAsia="黑体"/>
          <w:bCs/>
          <w:sz w:val="32"/>
          <w:szCs w:val="32"/>
          <w:highlight w:val="none"/>
          <w:lang w:eastAsia="zh-CN"/>
        </w:rPr>
        <w:t>五</w:t>
      </w:r>
      <w:r>
        <w:rPr>
          <w:rFonts w:hint="eastAsia" w:ascii="黑体" w:hAnsi="Calibri" w:eastAsia="黑体"/>
          <w:bCs/>
          <w:sz w:val="32"/>
          <w:szCs w:val="32"/>
          <w:highlight w:val="none"/>
        </w:rPr>
        <w:t>、比选时间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sz w:val="32"/>
          <w:szCs w:val="32"/>
          <w:highlight w:val="none"/>
          <w:lang w:val="en-US" w:eastAsia="zh-CN"/>
        </w:rPr>
        <w:t>我委将视情况组织符合条件的申报人开展比选工作，</w:t>
      </w:r>
      <w:r>
        <w:rPr>
          <w:rFonts w:hint="eastAsia" w:ascii="仿宋_GB2312" w:hAnsi="仿宋_GB2312" w:eastAsia="仿宋_GB2312" w:cs="仿宋_GB2312"/>
          <w:sz w:val="32"/>
          <w:szCs w:val="32"/>
          <w:highlight w:val="none"/>
          <w:lang w:eastAsia="zh-CN"/>
        </w:rPr>
        <w:t>比选</w:t>
      </w:r>
      <w:r>
        <w:rPr>
          <w:rFonts w:hint="eastAsia" w:ascii="仿宋_GB2312" w:hAnsi="仿宋_GB2312" w:eastAsia="仿宋_GB2312" w:cs="仿宋_GB2312"/>
          <w:sz w:val="32"/>
          <w:szCs w:val="32"/>
          <w:highlight w:val="none"/>
          <w:lang w:val="en-US" w:eastAsia="zh-CN"/>
        </w:rPr>
        <w:t>完成后，</w:t>
      </w:r>
      <w:r>
        <w:rPr>
          <w:rFonts w:hint="eastAsia" w:ascii="仿宋_GB2312" w:hAnsi="仿宋_GB2312" w:eastAsia="仿宋_GB2312" w:cs="仿宋_GB2312"/>
          <w:sz w:val="32"/>
          <w:szCs w:val="32"/>
          <w:highlight w:val="none"/>
          <w:lang w:eastAsia="zh-CN"/>
        </w:rPr>
        <w:t>将</w:t>
      </w:r>
      <w:r>
        <w:rPr>
          <w:rFonts w:hint="eastAsia" w:ascii="仿宋_GB2312" w:hAnsi="仿宋_GB2312" w:eastAsia="仿宋_GB2312" w:cs="仿宋_GB2312"/>
          <w:sz w:val="32"/>
          <w:szCs w:val="32"/>
          <w:highlight w:val="none"/>
          <w:lang w:val="en-US" w:eastAsia="zh-CN"/>
        </w:rPr>
        <w:t>在7个工作日内以电联方式将比选结果通知参加比选的供应商。</w:t>
      </w:r>
      <w:r>
        <w:rPr>
          <w:rFonts w:hint="eastAsia" w:ascii="仿宋_GB2312" w:eastAsia="仿宋_GB2312"/>
          <w:color w:val="auto"/>
          <w:sz w:val="32"/>
          <w:szCs w:val="32"/>
          <w:highlight w:val="none"/>
        </w:rPr>
        <w:t>未尽事宜解释权归</w:t>
      </w:r>
      <w:r>
        <w:rPr>
          <w:rFonts w:hint="eastAsia" w:ascii="仿宋_GB2312" w:eastAsia="仿宋_GB2312"/>
          <w:color w:val="auto"/>
          <w:sz w:val="32"/>
          <w:szCs w:val="32"/>
          <w:highlight w:val="none"/>
          <w:lang w:eastAsia="zh-CN"/>
        </w:rPr>
        <w:t>北京市</w:t>
      </w:r>
      <w:r>
        <w:rPr>
          <w:rFonts w:hint="eastAsia" w:ascii="仿宋_GB2312" w:eastAsia="仿宋_GB2312"/>
          <w:color w:val="auto"/>
          <w:sz w:val="32"/>
          <w:szCs w:val="32"/>
          <w:highlight w:val="none"/>
        </w:rPr>
        <w:t>西城区发展和改革委员会所有。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Calibri" w:eastAsia="黑体"/>
          <w:bCs/>
          <w:sz w:val="32"/>
          <w:szCs w:val="32"/>
          <w:highlight w:val="none"/>
          <w:lang w:val="en-US" w:eastAsia="zh-CN"/>
        </w:rPr>
      </w:pPr>
      <w:r>
        <w:rPr>
          <w:rFonts w:hint="eastAsia" w:ascii="黑体" w:hAnsi="Calibri" w:eastAsia="黑体"/>
          <w:bCs/>
          <w:sz w:val="32"/>
          <w:szCs w:val="32"/>
          <w:highlight w:val="none"/>
          <w:lang w:val="en-US" w:eastAsia="zh-CN"/>
        </w:rPr>
        <w:t>六</w:t>
      </w:r>
      <w:r>
        <w:rPr>
          <w:rFonts w:hint="eastAsia" w:ascii="黑体" w:hAnsi="Calibri" w:eastAsia="黑体"/>
          <w:bCs/>
          <w:sz w:val="32"/>
          <w:szCs w:val="32"/>
          <w:highlight w:val="none"/>
        </w:rPr>
        <w:t>、</w:t>
      </w:r>
      <w:r>
        <w:rPr>
          <w:rFonts w:hint="eastAsia" w:ascii="黑体" w:hAnsi="Calibri" w:eastAsia="黑体"/>
          <w:bCs/>
          <w:sz w:val="32"/>
          <w:szCs w:val="32"/>
          <w:highlight w:val="none"/>
          <w:lang w:val="en-US" w:eastAsia="zh-CN"/>
        </w:rPr>
        <w:t>联系方式</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联系人：毕老师</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联系电话：8</w:t>
      </w:r>
      <w:r>
        <w:rPr>
          <w:rFonts w:hint="eastAsia" w:ascii="仿宋_GB2312" w:hAnsi="仿宋_GB2312" w:eastAsia="仿宋_GB2312" w:cs="仿宋_GB2312"/>
          <w:sz w:val="32"/>
          <w:szCs w:val="32"/>
          <w:lang w:val="en-US" w:eastAsia="zh-CN"/>
        </w:rPr>
        <w:t>2141216</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地址：</w:t>
      </w:r>
      <w:r>
        <w:rPr>
          <w:rFonts w:hint="eastAsia" w:ascii="仿宋_GB2312" w:hAnsi="仿宋_GB2312" w:eastAsia="仿宋_GB2312" w:cs="仿宋_GB2312"/>
          <w:sz w:val="32"/>
          <w:szCs w:val="32"/>
          <w:highlight w:val="none"/>
          <w:lang w:val="en-US" w:eastAsia="zh-CN"/>
        </w:rPr>
        <w:t>西城区西直门内大街275号613室</w:t>
      </w:r>
    </w:p>
    <w:p>
      <w:pPr>
        <w:pStyle w:val="2"/>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北京市西城区发展和改革委员会</w:t>
      </w:r>
    </w:p>
    <w:p>
      <w:pPr>
        <w:jc w:val="center"/>
        <w:rPr>
          <w:rFonts w:hint="default"/>
          <w:lang w:val="en-US" w:eastAsia="zh-CN"/>
        </w:rPr>
      </w:pPr>
      <w:r>
        <w:rPr>
          <w:rFonts w:hint="eastAsia" w:ascii="仿宋_GB2312" w:hAnsi="仿宋_GB2312" w:eastAsia="仿宋_GB2312" w:cs="仿宋_GB2312"/>
          <w:sz w:val="32"/>
          <w:szCs w:val="32"/>
          <w:lang w:val="en-US" w:eastAsia="zh-CN"/>
        </w:rPr>
        <w:t xml:space="preserve">                          2026年9月20日</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1.《供应商资格声明书》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2.《北京市西城区发展和改革委员会2026年北京市公共资源交易西城区分平台运维项目比选评分标准》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供应商资格声明书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致：北京市西城区发展和改革委员会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在参与本次项目磋商中，我单位承诺：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（五）我单位不属于政府采购法律、行政法规规定的公益一类事业单位、或使用事业编制且由财政拨款保障的群团组织（仅适用于政府购买服务项目）；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（六）我单位不存在为比选项目提供整体设计、规范编制或者项目管理、监理、检测等服务后，再参加该项目的其他采购活动的情形；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（七）与我单位存在“单位负责人为同一人或者存在直接控股、管理关系”的其他法人单位信息如下（如有，不论其是否参加同一项目比选活动均须填写）：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单位名称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相互关系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上述声明真实有效，否则我方负全部责任。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供应商名称（加盖公章）：______</w:t>
      </w:r>
    </w:p>
    <w:p>
      <w:pPr>
        <w:pStyle w:val="2"/>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日期：____年____月____日</w:t>
      </w:r>
    </w:p>
    <w:p>
      <w:pPr>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rPr>
          <w:rFonts w:hint="eastAsia" w:ascii="仿宋_GB2312" w:hAnsi="仿宋_GB2312" w:eastAsia="仿宋_GB2312" w:cs="仿宋_GB2312"/>
          <w:sz w:val="32"/>
          <w:szCs w:val="32"/>
        </w:rPr>
      </w:pPr>
    </w:p>
    <w:p>
      <w:pPr>
        <w:pStyle w:val="3"/>
        <w:ind w:left="0" w:leftChars="0" w:firstLine="0" w:firstLineChars="0"/>
        <w:rPr>
          <w:rFonts w:hint="eastAsia" w:ascii="仿宋_GB2312" w:hAnsi="仿宋_GB2312" w:eastAsia="仿宋_GB2312" w:cs="仿宋_GB2312"/>
          <w:sz w:val="32"/>
          <w:szCs w:val="32"/>
        </w:rPr>
        <w:sectPr>
          <w:footerReference r:id="rId3" w:type="default"/>
          <w:pgSz w:w="11906" w:h="16838"/>
          <w:pgMar w:top="1440" w:right="1800" w:bottom="1440" w:left="1800" w:header="851" w:footer="992" w:gutter="0"/>
          <w:cols w:space="425" w:num="1"/>
          <w:docGrid w:type="lines" w:linePitch="312" w:charSpace="0"/>
        </w:sect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附件2：</w:t>
      </w:r>
    </w:p>
    <w:p>
      <w:pPr>
        <w:spacing w:line="560" w:lineRule="exact"/>
        <w:jc w:val="center"/>
        <w:rPr>
          <w:rFonts w:ascii="方正小标宋简体" w:hAnsi="黑体" w:eastAsia="方正小标宋简体"/>
          <w:sz w:val="44"/>
          <w:szCs w:val="44"/>
          <w:highlight w:val="none"/>
        </w:rPr>
      </w:pPr>
      <w:r>
        <w:rPr>
          <w:rFonts w:hint="eastAsia" w:ascii="方正小标宋简体" w:hAnsi="黑体" w:eastAsia="方正小标宋简体"/>
          <w:sz w:val="44"/>
          <w:szCs w:val="44"/>
          <w:highlight w:val="none"/>
          <w:lang w:val="en-US" w:eastAsia="zh-CN"/>
        </w:rPr>
        <w:t>北京市</w:t>
      </w:r>
      <w:r>
        <w:rPr>
          <w:rFonts w:hint="eastAsia" w:ascii="方正小标宋简体" w:hAnsi="黑体" w:eastAsia="方正小标宋简体"/>
          <w:sz w:val="44"/>
          <w:szCs w:val="44"/>
          <w:highlight w:val="none"/>
        </w:rPr>
        <w:t>西城区发展和改革委员会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黑体" w:eastAsia="方正小标宋简体"/>
          <w:sz w:val="44"/>
          <w:szCs w:val="44"/>
          <w:highlight w:val="none"/>
        </w:rPr>
      </w:pPr>
      <w:r>
        <w:rPr>
          <w:rFonts w:hint="eastAsia" w:ascii="方正小标宋简体" w:hAnsi="黑体" w:eastAsia="方正小标宋简体"/>
          <w:sz w:val="44"/>
          <w:szCs w:val="44"/>
          <w:highlight w:val="none"/>
        </w:rPr>
        <w:t>202</w:t>
      </w:r>
      <w:r>
        <w:rPr>
          <w:rFonts w:hint="eastAsia" w:ascii="方正小标宋简体" w:hAnsi="黑体" w:eastAsia="方正小标宋简体"/>
          <w:sz w:val="44"/>
          <w:szCs w:val="44"/>
          <w:highlight w:val="none"/>
          <w:lang w:val="en-US" w:eastAsia="zh-CN"/>
        </w:rPr>
        <w:t>6</w:t>
      </w:r>
      <w:r>
        <w:rPr>
          <w:rFonts w:hint="eastAsia" w:ascii="方正小标宋简体" w:hAnsi="黑体" w:eastAsia="方正小标宋简体"/>
          <w:sz w:val="44"/>
          <w:szCs w:val="44"/>
          <w:highlight w:val="none"/>
        </w:rPr>
        <w:t>年北京市公共资源交易西城区分平台运维项目</w:t>
      </w:r>
      <w:r>
        <w:rPr>
          <w:rFonts w:hint="eastAsia" w:ascii="方正小标宋简体" w:hAnsi="黑体" w:eastAsia="方正小标宋简体"/>
          <w:sz w:val="44"/>
          <w:szCs w:val="44"/>
          <w:highlight w:val="none"/>
          <w:lang w:val="en-US" w:eastAsia="zh-CN"/>
        </w:rPr>
        <w:t>比选</w:t>
      </w:r>
      <w:r>
        <w:rPr>
          <w:rFonts w:hint="eastAsia" w:ascii="方正小标宋简体" w:hAnsi="黑体" w:eastAsia="方正小标宋简体"/>
          <w:sz w:val="44"/>
          <w:szCs w:val="44"/>
          <w:highlight w:val="none"/>
        </w:rPr>
        <w:t>评分标准</w:t>
      </w:r>
    </w:p>
    <w:tbl>
      <w:tblPr>
        <w:tblStyle w:val="6"/>
        <w:tblpPr w:leftFromText="180" w:rightFromText="180" w:vertAnchor="text" w:horzAnchor="page" w:tblpX="1782" w:tblpY="475"/>
        <w:tblOverlap w:val="never"/>
        <w:tblW w:w="1364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511"/>
        <w:gridCol w:w="900"/>
        <w:gridCol w:w="2215"/>
        <w:gridCol w:w="7154"/>
        <w:gridCol w:w="95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trPr>
        <w:tc>
          <w:tcPr>
            <w:tcW w:w="914"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序号</w:t>
            </w:r>
          </w:p>
        </w:tc>
        <w:tc>
          <w:tcPr>
            <w:tcW w:w="1511" w:type="dxa"/>
            <w:vAlign w:val="center"/>
          </w:tcPr>
          <w:p>
            <w:pPr>
              <w:spacing w:line="340" w:lineRule="exact"/>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评分项目</w:t>
            </w:r>
          </w:p>
        </w:tc>
        <w:tc>
          <w:tcPr>
            <w:tcW w:w="900" w:type="dxa"/>
            <w:vAlign w:val="center"/>
          </w:tcPr>
          <w:p>
            <w:pPr>
              <w:spacing w:line="340" w:lineRule="exact"/>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总分</w:t>
            </w:r>
          </w:p>
        </w:tc>
        <w:tc>
          <w:tcPr>
            <w:tcW w:w="2215" w:type="dxa"/>
            <w:vAlign w:val="center"/>
          </w:tcPr>
          <w:p>
            <w:pPr>
              <w:spacing w:line="340" w:lineRule="exact"/>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具体项目</w:t>
            </w:r>
          </w:p>
        </w:tc>
        <w:tc>
          <w:tcPr>
            <w:tcW w:w="7154" w:type="dxa"/>
            <w:vAlign w:val="center"/>
          </w:tcPr>
          <w:p>
            <w:pPr>
              <w:spacing w:line="340" w:lineRule="exact"/>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评分标准</w:t>
            </w:r>
          </w:p>
        </w:tc>
        <w:tc>
          <w:tcPr>
            <w:tcW w:w="953"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914" w:type="dxa"/>
            <w:vAlign w:val="center"/>
          </w:tcPr>
          <w:p>
            <w:pPr>
              <w:spacing w:line="340" w:lineRule="exact"/>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p>
        </w:tc>
        <w:tc>
          <w:tcPr>
            <w:tcW w:w="1511" w:type="dxa"/>
            <w:vAlign w:val="center"/>
          </w:tcPr>
          <w:p>
            <w:pPr>
              <w:spacing w:line="340" w:lineRule="exact"/>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价格</w:t>
            </w:r>
          </w:p>
        </w:tc>
        <w:tc>
          <w:tcPr>
            <w:tcW w:w="900" w:type="dxa"/>
            <w:vAlign w:val="center"/>
          </w:tcPr>
          <w:p>
            <w:pPr>
              <w:spacing w:line="340" w:lineRule="exact"/>
              <w:jc w:val="center"/>
              <w:rPr>
                <w:rFonts w:hint="eastAsia" w:ascii="仿宋_GB2312" w:hAnsi="仿宋_GB2312" w:eastAsia="仿宋_GB2312" w:cs="仿宋_GB2312"/>
                <w:sz w:val="32"/>
                <w:szCs w:val="32"/>
                <w:highlight w:val="none"/>
                <w:lang w:val="en-US" w:eastAsia="zh-CN"/>
              </w:rPr>
            </w:pPr>
            <w:r>
              <w:rPr>
                <w:rFonts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rPr>
              <w:t>0分</w:t>
            </w:r>
          </w:p>
        </w:tc>
        <w:tc>
          <w:tcPr>
            <w:tcW w:w="2215"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pPr>
              <w:snapToGrid w:val="0"/>
              <w:spacing w:line="340" w:lineRule="exact"/>
              <w:jc w:val="center"/>
              <mc:AlternateContent>
                <mc:Choice Requires="wpsCustomData">
                  <wpsCustomData:diagonalParaType/>
                </mc:Choice>
              </mc:AlternateContent>
              <w:rPr>
                <w:rFonts w:hint="eastAsia" w:ascii="仿宋_GB2312" w:hAnsi="仿宋_GB2312" w:eastAsia="仿宋_GB2312" w:cs="仿宋_GB2312"/>
                <w:sz w:val="32"/>
                <w:szCs w:val="32"/>
                <w:highlight w:val="none"/>
                <w:lang w:val="en-US" w:eastAsia="zh-CN"/>
              </w:rPr>
            </w:pPr>
          </w:p>
          <w:p>
            <w:pPr>
              <w:spacing w:line="340" w:lineRule="exact"/>
              <w:jc w:val="center"/>
              <w:rPr>
                <w:rFonts w:hint="eastAsia" w:ascii="仿宋_GB2312" w:hAnsi="仿宋_GB2312" w:eastAsia="仿宋_GB2312" w:cs="仿宋_GB2312"/>
                <w:sz w:val="32"/>
                <w:szCs w:val="32"/>
                <w:highlight w:val="none"/>
                <w:lang w:val="en-US" w:eastAsia="zh-CN"/>
              </w:rPr>
            </w:pPr>
          </w:p>
        </w:tc>
        <w:tc>
          <w:tcPr>
            <w:tcW w:w="7154" w:type="dxa"/>
            <w:vAlign w:val="center"/>
          </w:tcPr>
          <w:p>
            <w:pPr>
              <w:spacing w:line="340"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得分</w:t>
            </w:r>
            <w:r>
              <w:rPr>
                <w:rFonts w:hint="eastAsia" w:ascii="仿宋_GB2312" w:hAnsi="仿宋_GB2312" w:eastAsia="仿宋_GB2312" w:cs="仿宋_GB2312"/>
                <w:sz w:val="32"/>
                <w:szCs w:val="32"/>
                <w:highlight w:val="none"/>
              </w:rPr>
              <w:t>=（基准价/报价）×</w:t>
            </w:r>
            <w:r>
              <w:rPr>
                <w:rFonts w:hint="eastAsia" w:ascii="仿宋_GB2312" w:hAnsi="仿宋_GB2312" w:eastAsia="仿宋_GB2312" w:cs="仿宋_GB2312"/>
                <w:sz w:val="32"/>
                <w:szCs w:val="32"/>
                <w:highlight w:val="none"/>
                <w:lang w:val="en-US" w:eastAsia="zh-CN"/>
              </w:rPr>
              <w:t>价格权值（30%）</w:t>
            </w:r>
            <w:r>
              <w:rPr>
                <w:rFonts w:hint="eastAsia" w:ascii="仿宋_GB2312" w:hAnsi="仿宋_GB2312" w:eastAsia="仿宋_GB2312" w:cs="仿宋_GB2312"/>
                <w:sz w:val="32"/>
                <w:szCs w:val="32"/>
                <w:highlight w:val="none"/>
              </w:rPr>
              <w:t>×100</w:t>
            </w:r>
          </w:p>
        </w:tc>
        <w:tc>
          <w:tcPr>
            <w:tcW w:w="953" w:type="dxa"/>
            <w:vAlign w:val="center"/>
          </w:tcPr>
          <w:p>
            <w:pPr>
              <w:spacing w:line="340" w:lineRule="exact"/>
              <w:jc w:val="center"/>
              <w:rPr>
                <w:rFonts w:hint="eastAsia" w:ascii="仿宋_GB2312" w:hAnsi="仿宋_GB2312" w:eastAsia="仿宋_GB2312" w:cs="仿宋_GB2312"/>
                <w:sz w:val="32"/>
                <w:szCs w:val="32"/>
                <w:highlight w:val="none"/>
                <w:lang w:val="en-US" w:eastAsia="zh-CN"/>
              </w:rPr>
            </w:pPr>
            <w:r>
              <w:rPr>
                <w:rFonts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rPr>
              <w:t>0分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58" w:hRule="atLeast"/>
        </w:trPr>
        <w:tc>
          <w:tcPr>
            <w:tcW w:w="914" w:type="dxa"/>
            <w:vMerge w:val="restart"/>
            <w:vAlign w:val="center"/>
          </w:tcPr>
          <w:p>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p>
        </w:tc>
        <w:tc>
          <w:tcPr>
            <w:tcW w:w="1511" w:type="dxa"/>
            <w:vMerge w:val="restart"/>
            <w:vAlign w:val="center"/>
          </w:tcPr>
          <w:p>
            <w:pPr>
              <w:tabs>
                <w:tab w:val="left" w:pos="0"/>
              </w:tabs>
              <w:spacing w:line="340" w:lineRule="exac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资质情况</w:t>
            </w:r>
          </w:p>
        </w:tc>
        <w:tc>
          <w:tcPr>
            <w:tcW w:w="900" w:type="dxa"/>
            <w:vMerge w:val="restart"/>
            <w:vAlign w:val="center"/>
          </w:tcPr>
          <w:p>
            <w:pPr>
              <w:spacing w:line="340" w:lineRule="exact"/>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分</w:t>
            </w:r>
          </w:p>
        </w:tc>
        <w:tc>
          <w:tcPr>
            <w:tcW w:w="2215" w:type="dxa"/>
            <w:vAlign w:val="center"/>
          </w:tcPr>
          <w:p>
            <w:pPr>
              <w:spacing w:line="340" w:lineRule="exact"/>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基本情况</w:t>
            </w:r>
          </w:p>
        </w:tc>
        <w:tc>
          <w:tcPr>
            <w:tcW w:w="7154" w:type="dxa"/>
            <w:vAlign w:val="center"/>
          </w:tcPr>
          <w:p>
            <w:pPr>
              <w:spacing w:line="34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基础材料齐全（</w:t>
            </w:r>
            <w:r>
              <w:rPr>
                <w:rFonts w:hint="eastAsia" w:ascii="仿宋_GB2312" w:hAnsi="仿宋_GB2312" w:eastAsia="仿宋_GB2312" w:cs="仿宋_GB2312"/>
                <w:sz w:val="32"/>
                <w:szCs w:val="32"/>
                <w:highlight w:val="none"/>
                <w:lang w:val="en-US" w:eastAsia="zh-CN"/>
              </w:rPr>
              <w:t>企业</w:t>
            </w:r>
            <w:r>
              <w:rPr>
                <w:rFonts w:hint="eastAsia" w:ascii="仿宋_GB2312" w:hAnsi="仿宋_GB2312" w:eastAsia="仿宋_GB2312" w:cs="仿宋_GB2312"/>
                <w:sz w:val="32"/>
                <w:szCs w:val="32"/>
                <w:highlight w:val="none"/>
                <w:lang w:eastAsia="zh-CN"/>
              </w:rPr>
              <w:t>营业执照</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lang w:eastAsia="zh-CN"/>
              </w:rPr>
              <w:t>法人身份证复印件、“</w:t>
            </w:r>
            <w:r>
              <w:rPr>
                <w:rFonts w:hint="eastAsia" w:ascii="仿宋_GB2312" w:hAnsi="仿宋_GB2312" w:eastAsia="仿宋_GB2312" w:cs="仿宋_GB2312"/>
                <w:sz w:val="32"/>
                <w:szCs w:val="32"/>
                <w:highlight w:val="none"/>
                <w:lang w:val="en-US" w:eastAsia="zh-CN"/>
              </w:rPr>
              <w:t>信用中国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公共信用信息报告中无不良记录、近三年内无履约纠纷和无不良记录承诺书</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每提供一个得</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val="en-US" w:eastAsia="zh-CN"/>
              </w:rPr>
              <w:t>，最高6</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val="en-US" w:eastAsia="zh-CN"/>
              </w:rPr>
              <w:t>。</w:t>
            </w:r>
          </w:p>
        </w:tc>
        <w:tc>
          <w:tcPr>
            <w:tcW w:w="953" w:type="dxa"/>
            <w:vAlign w:val="center"/>
          </w:tcPr>
          <w:p>
            <w:pPr>
              <w:spacing w:line="340" w:lineRule="exact"/>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09" w:hRule="atLeast"/>
        </w:trPr>
        <w:tc>
          <w:tcPr>
            <w:tcW w:w="914" w:type="dxa"/>
            <w:vMerge w:val="continue"/>
            <w:vAlign w:val="center"/>
          </w:tcPr>
          <w:p>
            <w:pPr>
              <w:jc w:val="center"/>
              <w:rPr>
                <w:rFonts w:hint="eastAsia" w:ascii="仿宋_GB2312" w:hAnsi="仿宋_GB2312" w:eastAsia="仿宋_GB2312" w:cs="仿宋_GB2312"/>
                <w:sz w:val="32"/>
                <w:szCs w:val="32"/>
                <w:highlight w:val="none"/>
                <w:lang w:val="en-US" w:eastAsia="zh-CN"/>
              </w:rPr>
            </w:pPr>
          </w:p>
        </w:tc>
        <w:tc>
          <w:tcPr>
            <w:tcW w:w="1511" w:type="dxa"/>
            <w:vMerge w:val="continue"/>
            <w:vAlign w:val="center"/>
          </w:tcPr>
          <w:p>
            <w:pPr>
              <w:spacing w:line="340" w:lineRule="exact"/>
              <w:jc w:val="center"/>
              <w:rPr>
                <w:rFonts w:hint="eastAsia" w:ascii="仿宋_GB2312" w:hAnsi="仿宋_GB2312" w:eastAsia="仿宋_GB2312" w:cs="仿宋_GB2312"/>
                <w:sz w:val="32"/>
                <w:szCs w:val="32"/>
                <w:highlight w:val="none"/>
              </w:rPr>
            </w:pPr>
          </w:p>
        </w:tc>
        <w:tc>
          <w:tcPr>
            <w:tcW w:w="900" w:type="dxa"/>
            <w:vMerge w:val="continue"/>
            <w:vAlign w:val="center"/>
          </w:tcPr>
          <w:p>
            <w:pPr>
              <w:spacing w:line="340" w:lineRule="exact"/>
              <w:jc w:val="both"/>
              <w:rPr>
                <w:rFonts w:hint="eastAsia" w:ascii="仿宋_GB2312" w:hAnsi="仿宋_GB2312" w:eastAsia="仿宋_GB2312" w:cs="仿宋_GB2312"/>
                <w:sz w:val="32"/>
                <w:szCs w:val="32"/>
                <w:highlight w:val="none"/>
              </w:rPr>
            </w:pPr>
          </w:p>
        </w:tc>
        <w:tc>
          <w:tcPr>
            <w:tcW w:w="2215" w:type="dxa"/>
            <w:vAlign w:val="center"/>
          </w:tcPr>
          <w:p>
            <w:pPr>
              <w:spacing w:line="340" w:lineRule="exact"/>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团队能力</w:t>
            </w:r>
          </w:p>
        </w:tc>
        <w:tc>
          <w:tcPr>
            <w:tcW w:w="7154" w:type="dxa"/>
            <w:vAlign w:val="center"/>
          </w:tcPr>
          <w:p>
            <w:pPr>
              <w:spacing w:line="340" w:lineRule="exact"/>
              <w:ind w:left="0" w:leftChars="0" w:firstLine="0" w:firstLineChars="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驻场</w:t>
            </w:r>
            <w:r>
              <w:rPr>
                <w:rFonts w:hint="eastAsia" w:ascii="仿宋_GB2312" w:hAnsi="仿宋_GB2312" w:eastAsia="仿宋_GB2312" w:cs="仿宋_GB2312"/>
                <w:sz w:val="32"/>
                <w:szCs w:val="32"/>
                <w:highlight w:val="none"/>
              </w:rPr>
              <w:t>运维</w:t>
            </w:r>
            <w:r>
              <w:rPr>
                <w:rFonts w:hint="eastAsia" w:ascii="仿宋_GB2312" w:hAnsi="仿宋_GB2312" w:eastAsia="仿宋_GB2312" w:cs="仿宋_GB2312"/>
                <w:sz w:val="32"/>
                <w:szCs w:val="32"/>
                <w:highlight w:val="none"/>
                <w:lang w:val="en-US" w:eastAsia="zh-CN"/>
              </w:rPr>
              <w:t>人员</w:t>
            </w:r>
            <w:r>
              <w:rPr>
                <w:rFonts w:hint="eastAsia" w:ascii="仿宋_GB2312" w:hAnsi="仿宋_GB2312" w:eastAsia="仿宋_GB2312" w:cs="仿宋_GB2312"/>
                <w:sz w:val="32"/>
                <w:szCs w:val="32"/>
                <w:highlight w:val="none"/>
              </w:rPr>
              <w:t>技术资格证书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IT</w:t>
            </w:r>
            <w:r>
              <w:rPr>
                <w:rFonts w:hint="eastAsia" w:ascii="仿宋_GB2312" w:hAnsi="仿宋_GB2312" w:eastAsia="仿宋_GB2312" w:cs="仿宋_GB2312"/>
                <w:sz w:val="32"/>
                <w:szCs w:val="32"/>
                <w:highlight w:val="none"/>
                <w:lang w:eastAsia="zh-CN"/>
              </w:rPr>
              <w:t>运维工程师证书、软件工程师证书、</w:t>
            </w:r>
            <w:r>
              <w:rPr>
                <w:rFonts w:hint="eastAsia" w:ascii="仿宋_GB2312" w:hAnsi="仿宋_GB2312" w:eastAsia="仿宋_GB2312" w:cs="仿宋_GB2312"/>
                <w:sz w:val="32"/>
                <w:szCs w:val="32"/>
                <w:highlight w:val="none"/>
                <w:lang w:val="en-US" w:eastAsia="zh-CN"/>
              </w:rPr>
              <w:t>PMP</w:t>
            </w:r>
            <w:r>
              <w:rPr>
                <w:rFonts w:hint="eastAsia" w:ascii="仿宋_GB2312" w:hAnsi="仿宋_GB2312" w:eastAsia="仿宋_GB2312" w:cs="仿宋_GB2312"/>
                <w:sz w:val="32"/>
                <w:szCs w:val="32"/>
                <w:highlight w:val="none"/>
              </w:rPr>
              <w:t>项目管理</w:t>
            </w:r>
            <w:r>
              <w:rPr>
                <w:rFonts w:hint="eastAsia" w:ascii="仿宋_GB2312" w:hAnsi="仿宋_GB2312" w:eastAsia="仿宋_GB2312" w:cs="仿宋_GB2312"/>
                <w:sz w:val="32"/>
                <w:szCs w:val="32"/>
                <w:highlight w:val="none"/>
                <w:lang w:val="en-US" w:eastAsia="zh-CN"/>
              </w:rPr>
              <w:t>工程师</w:t>
            </w:r>
            <w:r>
              <w:rPr>
                <w:rFonts w:hint="eastAsia" w:ascii="仿宋_GB2312" w:hAnsi="仿宋_GB2312" w:eastAsia="仿宋_GB2312" w:cs="仿宋_GB2312"/>
                <w:sz w:val="32"/>
                <w:szCs w:val="32"/>
                <w:highlight w:val="none"/>
              </w:rPr>
              <w:t>证书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计算机技术与软件资格证书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，每提供一个得</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分，最高</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eastAsia="zh-CN"/>
              </w:rPr>
              <w:t>。</w:t>
            </w:r>
          </w:p>
        </w:tc>
        <w:tc>
          <w:tcPr>
            <w:tcW w:w="953" w:type="dxa"/>
            <w:vAlign w:val="center"/>
          </w:tcPr>
          <w:p>
            <w:pPr>
              <w:spacing w:line="340" w:lineRule="exact"/>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9" w:hRule="atLeast"/>
        </w:trPr>
        <w:tc>
          <w:tcPr>
            <w:tcW w:w="914" w:type="dxa"/>
            <w:vMerge w:val="continue"/>
            <w:vAlign w:val="center"/>
          </w:tcPr>
          <w:p>
            <w:pPr>
              <w:jc w:val="center"/>
              <w:rPr>
                <w:rFonts w:hint="eastAsia" w:ascii="仿宋_GB2312" w:hAnsi="仿宋_GB2312" w:eastAsia="仿宋_GB2312" w:cs="仿宋_GB2312"/>
                <w:sz w:val="32"/>
                <w:szCs w:val="32"/>
                <w:highlight w:val="none"/>
                <w:lang w:val="en-US" w:eastAsia="zh-CN"/>
              </w:rPr>
            </w:pPr>
          </w:p>
        </w:tc>
        <w:tc>
          <w:tcPr>
            <w:tcW w:w="1511" w:type="dxa"/>
            <w:vMerge w:val="continue"/>
            <w:vAlign w:val="center"/>
          </w:tcPr>
          <w:p>
            <w:pPr>
              <w:jc w:val="center"/>
              <w:rPr>
                <w:rFonts w:hint="eastAsia" w:ascii="仿宋_GB2312" w:hAnsi="仿宋_GB2312" w:eastAsia="仿宋_GB2312" w:cs="仿宋_GB2312"/>
                <w:sz w:val="32"/>
                <w:szCs w:val="32"/>
                <w:highlight w:val="none"/>
              </w:rPr>
            </w:pPr>
          </w:p>
        </w:tc>
        <w:tc>
          <w:tcPr>
            <w:tcW w:w="900" w:type="dxa"/>
            <w:vMerge w:val="continue"/>
            <w:vAlign w:val="center"/>
          </w:tcPr>
          <w:p>
            <w:pPr>
              <w:rPr>
                <w:rFonts w:hint="eastAsia" w:ascii="仿宋_GB2312" w:hAnsi="仿宋_GB2312" w:eastAsia="仿宋_GB2312" w:cs="仿宋_GB2312"/>
                <w:sz w:val="32"/>
                <w:szCs w:val="32"/>
                <w:highlight w:val="none"/>
              </w:rPr>
            </w:pPr>
          </w:p>
        </w:tc>
        <w:tc>
          <w:tcPr>
            <w:tcW w:w="2215" w:type="dxa"/>
            <w:vAlign w:val="center"/>
          </w:tcPr>
          <w:p>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业绩</w:t>
            </w:r>
            <w:r>
              <w:rPr>
                <w:rFonts w:hint="eastAsia" w:ascii="仿宋_GB2312" w:hAnsi="仿宋_GB2312" w:eastAsia="仿宋_GB2312" w:cs="仿宋_GB2312"/>
                <w:sz w:val="32"/>
                <w:szCs w:val="32"/>
                <w:highlight w:val="none"/>
                <w:lang w:val="en-US" w:eastAsia="zh-CN"/>
              </w:rPr>
              <w:t>情况</w:t>
            </w:r>
          </w:p>
        </w:tc>
        <w:tc>
          <w:tcPr>
            <w:tcW w:w="7154" w:type="dxa"/>
            <w:vAlign w:val="center"/>
          </w:tcPr>
          <w:p>
            <w:pPr>
              <w:spacing w:line="340" w:lineRule="exac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相关项目经验，每提供一个得2</w:t>
            </w:r>
            <w:r>
              <w:rPr>
                <w:rFonts w:hint="eastAsia" w:ascii="仿宋_GB2312" w:hAnsi="仿宋_GB2312" w:eastAsia="仿宋_GB2312" w:cs="仿宋_GB2312"/>
                <w:sz w:val="32"/>
                <w:szCs w:val="32"/>
                <w:highlight w:val="none"/>
              </w:rPr>
              <w:t>分，最高</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eastAsia="zh-CN"/>
              </w:rPr>
              <w:t>。</w:t>
            </w:r>
          </w:p>
        </w:tc>
        <w:tc>
          <w:tcPr>
            <w:tcW w:w="953"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914" w:type="dxa"/>
            <w:vMerge w:val="restart"/>
            <w:vAlign w:val="center"/>
          </w:tcPr>
          <w:p>
            <w:pPr>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p>
        </w:tc>
        <w:tc>
          <w:tcPr>
            <w:tcW w:w="1511" w:type="dxa"/>
            <w:vMerge w:val="restart"/>
            <w:vAlign w:val="center"/>
          </w:tcPr>
          <w:p>
            <w:pPr>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运维服务方案</w:t>
            </w:r>
          </w:p>
        </w:tc>
        <w:tc>
          <w:tcPr>
            <w:tcW w:w="900" w:type="dxa"/>
            <w:vMerge w:val="restart"/>
            <w:vAlign w:val="center"/>
          </w:tcPr>
          <w:p>
            <w:pPr>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44分</w:t>
            </w:r>
          </w:p>
        </w:tc>
        <w:tc>
          <w:tcPr>
            <w:tcW w:w="2215" w:type="dxa"/>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总体运维</w:t>
            </w:r>
          </w:p>
          <w:p>
            <w:pPr>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服务方案</w:t>
            </w:r>
          </w:p>
        </w:tc>
        <w:tc>
          <w:tcPr>
            <w:tcW w:w="7154" w:type="dxa"/>
            <w:vAlign w:val="center"/>
          </w:tcPr>
          <w:p>
            <w:pPr>
              <w:numPr>
                <w:ilvl w:val="0"/>
                <w:numId w:val="1"/>
              </w:numPr>
              <w:spacing w:line="340" w:lineRule="exact"/>
              <w:ind w:left="425" w:leftChars="0" w:hanging="425" w:firstLineChars="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优秀（15分）：方案较好，全面、完善，满足比选文件要求，符合实际情况；</w:t>
            </w:r>
          </w:p>
          <w:p>
            <w:pPr>
              <w:numPr>
                <w:ilvl w:val="0"/>
                <w:numId w:val="1"/>
              </w:numPr>
              <w:spacing w:line="340" w:lineRule="exact"/>
              <w:ind w:left="425" w:leftChars="0" w:hanging="425" w:firstLineChars="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良好（12分）：</w:t>
            </w:r>
            <w:r>
              <w:rPr>
                <w:rFonts w:hint="eastAsia" w:ascii="仿宋_GB2312" w:hAnsi="仿宋_GB2312" w:eastAsia="仿宋_GB2312" w:cs="仿宋_GB2312"/>
                <w:sz w:val="32"/>
                <w:szCs w:val="32"/>
                <w:highlight w:val="none"/>
              </w:rPr>
              <w:t>方案一般</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运维服务模式较简单，部分</w:t>
            </w:r>
            <w:r>
              <w:rPr>
                <w:rFonts w:hint="eastAsia" w:ascii="仿宋_GB2312" w:hAnsi="仿宋_GB2312" w:eastAsia="仿宋_GB2312" w:cs="仿宋_GB2312"/>
                <w:sz w:val="32"/>
                <w:szCs w:val="32"/>
                <w:highlight w:val="none"/>
                <w:lang w:val="en-US" w:eastAsia="zh-CN"/>
              </w:rPr>
              <w:t>满足比选文件要求，部分符合实际情况</w:t>
            </w:r>
            <w:r>
              <w:rPr>
                <w:rFonts w:hint="eastAsia" w:ascii="仿宋_GB2312" w:hAnsi="仿宋_GB2312" w:eastAsia="仿宋_GB2312" w:cs="仿宋_GB2312"/>
                <w:sz w:val="32"/>
                <w:szCs w:val="32"/>
                <w:highlight w:val="none"/>
                <w:lang w:eastAsia="zh-CN"/>
              </w:rPr>
              <w:t>；</w:t>
            </w:r>
          </w:p>
          <w:p>
            <w:pPr>
              <w:numPr>
                <w:ilvl w:val="0"/>
                <w:numId w:val="1"/>
              </w:numPr>
              <w:spacing w:line="340" w:lineRule="exact"/>
              <w:ind w:left="425" w:leftChars="0" w:hanging="425" w:firstLineChars="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待改进（8分）：</w:t>
            </w:r>
            <w:r>
              <w:rPr>
                <w:rFonts w:hint="eastAsia" w:ascii="仿宋_GB2312" w:hAnsi="仿宋_GB2312" w:eastAsia="仿宋_GB2312" w:cs="仿宋_GB2312"/>
                <w:sz w:val="32"/>
                <w:szCs w:val="32"/>
                <w:highlight w:val="none"/>
              </w:rPr>
              <w:t>方案较差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运维服务模式较简单，</w:t>
            </w:r>
            <w:r>
              <w:rPr>
                <w:rFonts w:hint="eastAsia" w:ascii="仿宋_GB2312" w:hAnsi="仿宋_GB2312" w:eastAsia="仿宋_GB2312" w:cs="仿宋_GB2312"/>
                <w:sz w:val="32"/>
                <w:szCs w:val="32"/>
                <w:highlight w:val="none"/>
                <w:lang w:val="en-US" w:eastAsia="zh-CN"/>
              </w:rPr>
              <w:t>不满足比选文件要求，</w:t>
            </w:r>
            <w:r>
              <w:rPr>
                <w:rFonts w:hint="eastAsia" w:ascii="仿宋_GB2312" w:hAnsi="仿宋_GB2312" w:eastAsia="仿宋_GB2312" w:cs="仿宋_GB2312"/>
                <w:sz w:val="32"/>
                <w:szCs w:val="32"/>
                <w:highlight w:val="none"/>
              </w:rPr>
              <w:t>不符合</w:t>
            </w:r>
            <w:r>
              <w:rPr>
                <w:rFonts w:hint="eastAsia" w:ascii="仿宋_GB2312" w:hAnsi="仿宋_GB2312" w:eastAsia="仿宋_GB2312" w:cs="仿宋_GB2312"/>
                <w:sz w:val="32"/>
                <w:szCs w:val="32"/>
                <w:highlight w:val="none"/>
                <w:lang w:val="en-US" w:eastAsia="zh-CN"/>
              </w:rPr>
              <w:t>实际情况</w:t>
            </w:r>
            <w:r>
              <w:rPr>
                <w:rFonts w:hint="eastAsia" w:ascii="仿宋_GB2312" w:hAnsi="仿宋_GB2312" w:eastAsia="仿宋_GB2312" w:cs="仿宋_GB2312"/>
                <w:sz w:val="32"/>
                <w:szCs w:val="32"/>
                <w:highlight w:val="none"/>
                <w:lang w:eastAsia="zh-CN"/>
              </w:rPr>
              <w:t>。</w:t>
            </w:r>
          </w:p>
        </w:tc>
        <w:tc>
          <w:tcPr>
            <w:tcW w:w="953"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72" w:hRule="atLeast"/>
        </w:trPr>
        <w:tc>
          <w:tcPr>
            <w:tcW w:w="914" w:type="dxa"/>
            <w:vMerge w:val="continue"/>
            <w:vAlign w:val="center"/>
          </w:tcPr>
          <w:p>
            <w:pPr>
              <w:rPr>
                <w:rFonts w:ascii="仿宋_GB2312" w:hAnsi="仿宋_GB2312" w:eastAsia="仿宋_GB2312" w:cs="仿宋_GB2312"/>
                <w:sz w:val="32"/>
                <w:szCs w:val="32"/>
                <w:highlight w:val="none"/>
              </w:rPr>
            </w:pPr>
          </w:p>
        </w:tc>
        <w:tc>
          <w:tcPr>
            <w:tcW w:w="1511" w:type="dxa"/>
            <w:vMerge w:val="continue"/>
            <w:vAlign w:val="center"/>
          </w:tcPr>
          <w:p>
            <w:pPr>
              <w:rPr>
                <w:rFonts w:ascii="仿宋_GB2312" w:hAnsi="仿宋_GB2312" w:eastAsia="仿宋_GB2312" w:cs="仿宋_GB2312"/>
                <w:sz w:val="32"/>
                <w:szCs w:val="32"/>
                <w:highlight w:val="none"/>
              </w:rPr>
            </w:pPr>
          </w:p>
        </w:tc>
        <w:tc>
          <w:tcPr>
            <w:tcW w:w="900" w:type="dxa"/>
            <w:vMerge w:val="continue"/>
            <w:vAlign w:val="center"/>
          </w:tcPr>
          <w:p>
            <w:pPr>
              <w:rPr>
                <w:rFonts w:hint="eastAsia" w:ascii="仿宋_GB2312" w:hAnsi="仿宋_GB2312" w:eastAsia="仿宋_GB2312" w:cs="仿宋_GB2312"/>
                <w:sz w:val="32"/>
                <w:szCs w:val="32"/>
                <w:highlight w:val="none"/>
              </w:rPr>
            </w:pPr>
          </w:p>
        </w:tc>
        <w:tc>
          <w:tcPr>
            <w:tcW w:w="2215" w:type="dxa"/>
            <w:vAlign w:val="center"/>
          </w:tcPr>
          <w:p>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运维管理</w:t>
            </w:r>
          </w:p>
          <w:p>
            <w:pPr>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资产管理</w:t>
            </w:r>
          </w:p>
        </w:tc>
        <w:tc>
          <w:tcPr>
            <w:tcW w:w="7154" w:type="dxa"/>
            <w:vAlign w:val="center"/>
          </w:tcPr>
          <w:p>
            <w:pPr>
              <w:numPr>
                <w:ilvl w:val="0"/>
                <w:numId w:val="2"/>
              </w:numPr>
              <w:spacing w:line="340" w:lineRule="exact"/>
              <w:ind w:left="425" w:leftChars="0" w:hanging="425"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优秀（12分）：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较好，</w:t>
            </w:r>
            <w:r>
              <w:rPr>
                <w:rFonts w:hint="eastAsia" w:ascii="仿宋_GB2312" w:hAnsi="仿宋_GB2312" w:eastAsia="仿宋_GB2312" w:cs="仿宋_GB2312"/>
                <w:sz w:val="32"/>
                <w:szCs w:val="32"/>
                <w:highlight w:val="none"/>
              </w:rPr>
              <w:t>完整详细、</w:t>
            </w:r>
            <w:r>
              <w:rPr>
                <w:rFonts w:hint="eastAsia" w:ascii="仿宋_GB2312" w:hAnsi="仿宋_GB2312" w:eastAsia="仿宋_GB2312" w:cs="仿宋_GB2312"/>
                <w:sz w:val="32"/>
                <w:szCs w:val="32"/>
                <w:highlight w:val="none"/>
                <w:lang w:val="en-US" w:eastAsia="zh-CN"/>
              </w:rPr>
              <w:t>合理可行，满足比选文件要求，</w:t>
            </w:r>
            <w:r>
              <w:rPr>
                <w:rFonts w:hint="eastAsia" w:ascii="仿宋_GB2312" w:hAnsi="仿宋_GB2312" w:eastAsia="仿宋_GB2312" w:cs="仿宋_GB2312"/>
                <w:sz w:val="32"/>
                <w:szCs w:val="32"/>
                <w:highlight w:val="none"/>
              </w:rPr>
              <w:t>针对性强</w:t>
            </w:r>
            <w:r>
              <w:rPr>
                <w:rFonts w:hint="eastAsia" w:ascii="仿宋_GB2312" w:hAnsi="仿宋_GB2312" w:eastAsia="仿宋_GB2312" w:cs="仿宋_GB2312"/>
                <w:sz w:val="32"/>
                <w:szCs w:val="32"/>
                <w:highlight w:val="none"/>
                <w:lang w:eastAsia="zh-CN"/>
              </w:rPr>
              <w:t>；</w:t>
            </w:r>
          </w:p>
          <w:p>
            <w:pPr>
              <w:numPr>
                <w:ilvl w:val="0"/>
                <w:numId w:val="2"/>
              </w:numPr>
              <w:spacing w:line="340" w:lineRule="exact"/>
              <w:ind w:left="425" w:leftChars="0" w:hanging="425"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良好（9分）：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一般，</w:t>
            </w:r>
            <w:r>
              <w:rPr>
                <w:rFonts w:hint="eastAsia" w:ascii="仿宋_GB2312" w:hAnsi="仿宋_GB2312" w:eastAsia="仿宋_GB2312" w:cs="仿宋_GB2312"/>
                <w:sz w:val="32"/>
                <w:szCs w:val="32"/>
                <w:highlight w:val="none"/>
              </w:rPr>
              <w:t>较完整、</w:t>
            </w:r>
            <w:r>
              <w:rPr>
                <w:rFonts w:hint="eastAsia" w:ascii="仿宋_GB2312" w:hAnsi="仿宋_GB2312" w:eastAsia="仿宋_GB2312" w:cs="仿宋_GB2312"/>
                <w:sz w:val="32"/>
                <w:szCs w:val="32"/>
                <w:highlight w:val="none"/>
                <w:lang w:val="en-US" w:eastAsia="zh-CN"/>
              </w:rPr>
              <w:t>基本合理可行，部分满足比选文件要求，针对性不强</w:t>
            </w:r>
            <w:r>
              <w:rPr>
                <w:rFonts w:hint="eastAsia" w:ascii="仿宋_GB2312" w:hAnsi="仿宋_GB2312" w:eastAsia="仿宋_GB2312" w:cs="仿宋_GB2312"/>
                <w:sz w:val="32"/>
                <w:szCs w:val="32"/>
                <w:highlight w:val="none"/>
                <w:lang w:eastAsia="zh-CN"/>
              </w:rPr>
              <w:t>；</w:t>
            </w:r>
          </w:p>
          <w:p>
            <w:pPr>
              <w:numPr>
                <w:ilvl w:val="0"/>
                <w:numId w:val="2"/>
              </w:numPr>
              <w:spacing w:line="340" w:lineRule="exact"/>
              <w:ind w:left="425" w:leftChars="0" w:hanging="425"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待改进（6分）：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较差，不</w:t>
            </w:r>
            <w:r>
              <w:rPr>
                <w:rFonts w:hint="eastAsia" w:ascii="仿宋_GB2312" w:hAnsi="仿宋_GB2312" w:eastAsia="仿宋_GB2312" w:cs="仿宋_GB2312"/>
                <w:sz w:val="32"/>
                <w:szCs w:val="32"/>
                <w:highlight w:val="none"/>
              </w:rPr>
              <w:t>完整、</w:t>
            </w:r>
            <w:r>
              <w:rPr>
                <w:rFonts w:hint="eastAsia" w:ascii="仿宋_GB2312" w:hAnsi="仿宋_GB2312" w:eastAsia="仿宋_GB2312" w:cs="仿宋_GB2312"/>
                <w:sz w:val="32"/>
                <w:szCs w:val="32"/>
                <w:highlight w:val="none"/>
                <w:lang w:val="en-US" w:eastAsia="zh-CN"/>
              </w:rPr>
              <w:t>不合理、不可行</w:t>
            </w:r>
            <w:r>
              <w:rPr>
                <w:rFonts w:hint="eastAsia" w:ascii="仿宋_GB2312" w:hAnsi="仿宋_GB2312" w:eastAsia="仿宋_GB2312" w:cs="仿宋_GB2312"/>
                <w:sz w:val="32"/>
                <w:szCs w:val="32"/>
                <w:highlight w:val="none"/>
                <w:lang w:eastAsia="zh-CN"/>
              </w:rPr>
              <w:t>。</w:t>
            </w:r>
          </w:p>
        </w:tc>
        <w:tc>
          <w:tcPr>
            <w:tcW w:w="953"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364" w:hRule="atLeast"/>
        </w:trPr>
        <w:tc>
          <w:tcPr>
            <w:tcW w:w="914" w:type="dxa"/>
            <w:vMerge w:val="continue"/>
            <w:vAlign w:val="center"/>
          </w:tcPr>
          <w:p>
            <w:pPr>
              <w:rPr>
                <w:rFonts w:ascii="仿宋_GB2312" w:hAnsi="仿宋_GB2312" w:eastAsia="仿宋_GB2312" w:cs="仿宋_GB2312"/>
                <w:sz w:val="32"/>
                <w:szCs w:val="32"/>
                <w:highlight w:val="none"/>
              </w:rPr>
            </w:pPr>
          </w:p>
        </w:tc>
        <w:tc>
          <w:tcPr>
            <w:tcW w:w="1511" w:type="dxa"/>
            <w:vMerge w:val="continue"/>
            <w:vAlign w:val="center"/>
          </w:tcPr>
          <w:p>
            <w:pPr>
              <w:rPr>
                <w:rFonts w:ascii="仿宋_GB2312" w:hAnsi="仿宋_GB2312" w:eastAsia="仿宋_GB2312" w:cs="仿宋_GB2312"/>
                <w:sz w:val="32"/>
                <w:szCs w:val="32"/>
                <w:highlight w:val="none"/>
              </w:rPr>
            </w:pPr>
          </w:p>
        </w:tc>
        <w:tc>
          <w:tcPr>
            <w:tcW w:w="900" w:type="dxa"/>
            <w:vMerge w:val="continue"/>
            <w:vAlign w:val="center"/>
          </w:tcPr>
          <w:p>
            <w:pPr>
              <w:rPr>
                <w:rFonts w:hint="eastAsia" w:ascii="仿宋_GB2312" w:hAnsi="仿宋_GB2312" w:eastAsia="仿宋_GB2312" w:cs="仿宋_GB2312"/>
                <w:sz w:val="32"/>
                <w:szCs w:val="32"/>
                <w:highlight w:val="none"/>
              </w:rPr>
            </w:pPr>
          </w:p>
        </w:tc>
        <w:tc>
          <w:tcPr>
            <w:tcW w:w="2215" w:type="dxa"/>
            <w:vAlign w:val="center"/>
          </w:tcPr>
          <w:p>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日常巡检</w:t>
            </w:r>
          </w:p>
          <w:p>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基础维护</w:t>
            </w:r>
          </w:p>
          <w:p>
            <w:pPr>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技术支持</w:t>
            </w:r>
          </w:p>
          <w:p>
            <w:pPr>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网站内容运维</w:t>
            </w:r>
          </w:p>
        </w:tc>
        <w:tc>
          <w:tcPr>
            <w:tcW w:w="7154" w:type="dxa"/>
            <w:vAlign w:val="center"/>
          </w:tcPr>
          <w:p>
            <w:pPr>
              <w:numPr>
                <w:ilvl w:val="0"/>
                <w:numId w:val="3"/>
              </w:numPr>
              <w:spacing w:line="340" w:lineRule="exact"/>
              <w:ind w:left="425" w:leftChars="0" w:hanging="425" w:firstLineChars="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优秀（12分）：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较好，</w:t>
            </w:r>
            <w:r>
              <w:rPr>
                <w:rFonts w:hint="eastAsia" w:ascii="仿宋_GB2312" w:hAnsi="仿宋_GB2312" w:eastAsia="仿宋_GB2312" w:cs="仿宋_GB2312"/>
                <w:sz w:val="32"/>
                <w:szCs w:val="32"/>
                <w:highlight w:val="none"/>
              </w:rPr>
              <w:t>完整详细、</w:t>
            </w:r>
            <w:r>
              <w:rPr>
                <w:rFonts w:hint="eastAsia" w:ascii="仿宋_GB2312" w:hAnsi="仿宋_GB2312" w:eastAsia="仿宋_GB2312" w:cs="仿宋_GB2312"/>
                <w:sz w:val="32"/>
                <w:szCs w:val="32"/>
                <w:highlight w:val="none"/>
                <w:lang w:val="en-US" w:eastAsia="zh-CN"/>
              </w:rPr>
              <w:t>合理可行，满足比选文件要求，</w:t>
            </w:r>
            <w:r>
              <w:rPr>
                <w:rFonts w:hint="eastAsia" w:ascii="仿宋_GB2312" w:hAnsi="仿宋_GB2312" w:eastAsia="仿宋_GB2312" w:cs="仿宋_GB2312"/>
                <w:sz w:val="32"/>
                <w:szCs w:val="32"/>
                <w:highlight w:val="none"/>
              </w:rPr>
              <w:t>针对性强</w:t>
            </w:r>
            <w:r>
              <w:rPr>
                <w:rFonts w:hint="eastAsia" w:ascii="仿宋_GB2312" w:hAnsi="仿宋_GB2312" w:eastAsia="仿宋_GB2312" w:cs="仿宋_GB2312"/>
                <w:sz w:val="32"/>
                <w:szCs w:val="32"/>
                <w:highlight w:val="none"/>
                <w:lang w:eastAsia="zh-CN"/>
              </w:rPr>
              <w:t>；</w:t>
            </w:r>
          </w:p>
          <w:p>
            <w:pPr>
              <w:numPr>
                <w:ilvl w:val="0"/>
                <w:numId w:val="3"/>
              </w:numPr>
              <w:spacing w:line="340" w:lineRule="exact"/>
              <w:ind w:left="425" w:leftChars="0" w:hanging="425" w:firstLineChars="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良好（9分）：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一般，</w:t>
            </w:r>
            <w:r>
              <w:rPr>
                <w:rFonts w:hint="eastAsia" w:ascii="仿宋_GB2312" w:hAnsi="仿宋_GB2312" w:eastAsia="仿宋_GB2312" w:cs="仿宋_GB2312"/>
                <w:sz w:val="32"/>
                <w:szCs w:val="32"/>
                <w:highlight w:val="none"/>
              </w:rPr>
              <w:t>较完整、</w:t>
            </w:r>
            <w:r>
              <w:rPr>
                <w:rFonts w:hint="eastAsia" w:ascii="仿宋_GB2312" w:hAnsi="仿宋_GB2312" w:eastAsia="仿宋_GB2312" w:cs="仿宋_GB2312"/>
                <w:sz w:val="32"/>
                <w:szCs w:val="32"/>
                <w:highlight w:val="none"/>
                <w:lang w:val="en-US" w:eastAsia="zh-CN"/>
              </w:rPr>
              <w:t>基本合理可行，部分满足比选文件要求，针对性不强</w:t>
            </w:r>
            <w:r>
              <w:rPr>
                <w:rFonts w:hint="eastAsia" w:ascii="仿宋_GB2312" w:hAnsi="仿宋_GB2312" w:eastAsia="仿宋_GB2312" w:cs="仿宋_GB2312"/>
                <w:sz w:val="32"/>
                <w:szCs w:val="32"/>
                <w:highlight w:val="none"/>
                <w:lang w:eastAsia="zh-CN"/>
              </w:rPr>
              <w:t>；</w:t>
            </w:r>
          </w:p>
          <w:p>
            <w:pPr>
              <w:numPr>
                <w:ilvl w:val="0"/>
                <w:numId w:val="3"/>
              </w:numPr>
              <w:spacing w:line="340" w:lineRule="exact"/>
              <w:ind w:left="425" w:leftChars="0" w:hanging="425" w:firstLineChars="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待改进（6分）：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较差，不</w:t>
            </w:r>
            <w:r>
              <w:rPr>
                <w:rFonts w:hint="eastAsia" w:ascii="仿宋_GB2312" w:hAnsi="仿宋_GB2312" w:eastAsia="仿宋_GB2312" w:cs="仿宋_GB2312"/>
                <w:sz w:val="32"/>
                <w:szCs w:val="32"/>
                <w:highlight w:val="none"/>
              </w:rPr>
              <w:t>完整、</w:t>
            </w:r>
            <w:r>
              <w:rPr>
                <w:rFonts w:hint="eastAsia" w:ascii="仿宋_GB2312" w:hAnsi="仿宋_GB2312" w:eastAsia="仿宋_GB2312" w:cs="仿宋_GB2312"/>
                <w:sz w:val="32"/>
                <w:szCs w:val="32"/>
                <w:highlight w:val="none"/>
                <w:lang w:val="en-US" w:eastAsia="zh-CN"/>
              </w:rPr>
              <w:t>不合理、不可行</w:t>
            </w:r>
            <w:r>
              <w:rPr>
                <w:rFonts w:hint="eastAsia" w:ascii="仿宋_GB2312" w:hAnsi="仿宋_GB2312" w:eastAsia="仿宋_GB2312" w:cs="仿宋_GB2312"/>
                <w:sz w:val="32"/>
                <w:szCs w:val="32"/>
                <w:highlight w:val="none"/>
                <w:lang w:eastAsia="zh-CN"/>
              </w:rPr>
              <w:t>。</w:t>
            </w:r>
          </w:p>
        </w:tc>
        <w:tc>
          <w:tcPr>
            <w:tcW w:w="953"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71" w:hRule="atLeast"/>
        </w:trPr>
        <w:tc>
          <w:tcPr>
            <w:tcW w:w="914" w:type="dxa"/>
            <w:vMerge w:val="continue"/>
            <w:vAlign w:val="center"/>
          </w:tcPr>
          <w:p>
            <w:pPr>
              <w:rPr>
                <w:rFonts w:ascii="仿宋_GB2312" w:hAnsi="仿宋_GB2312" w:eastAsia="仿宋_GB2312" w:cs="仿宋_GB2312"/>
                <w:sz w:val="32"/>
                <w:szCs w:val="32"/>
                <w:highlight w:val="none"/>
              </w:rPr>
            </w:pPr>
          </w:p>
        </w:tc>
        <w:tc>
          <w:tcPr>
            <w:tcW w:w="1511" w:type="dxa"/>
            <w:vMerge w:val="continue"/>
            <w:vAlign w:val="center"/>
          </w:tcPr>
          <w:p>
            <w:pPr>
              <w:rPr>
                <w:rFonts w:ascii="仿宋_GB2312" w:hAnsi="仿宋_GB2312" w:eastAsia="仿宋_GB2312" w:cs="仿宋_GB2312"/>
                <w:sz w:val="32"/>
                <w:szCs w:val="32"/>
                <w:highlight w:val="none"/>
              </w:rPr>
            </w:pPr>
          </w:p>
        </w:tc>
        <w:tc>
          <w:tcPr>
            <w:tcW w:w="900" w:type="dxa"/>
            <w:vMerge w:val="continue"/>
            <w:vAlign w:val="center"/>
          </w:tcPr>
          <w:p>
            <w:pPr>
              <w:rPr>
                <w:rFonts w:hint="eastAsia" w:ascii="仿宋_GB2312" w:hAnsi="仿宋_GB2312" w:eastAsia="仿宋_GB2312" w:cs="仿宋_GB2312"/>
                <w:sz w:val="32"/>
                <w:szCs w:val="32"/>
                <w:highlight w:val="none"/>
              </w:rPr>
            </w:pPr>
          </w:p>
        </w:tc>
        <w:tc>
          <w:tcPr>
            <w:tcW w:w="2215" w:type="dxa"/>
            <w:vAlign w:val="center"/>
          </w:tcPr>
          <w:p>
            <w:pPr>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应急管理处置</w:t>
            </w:r>
          </w:p>
          <w:p>
            <w:pPr>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重点时期保障</w:t>
            </w:r>
          </w:p>
        </w:tc>
        <w:tc>
          <w:tcPr>
            <w:tcW w:w="7154" w:type="dxa"/>
            <w:vAlign w:val="center"/>
          </w:tcPr>
          <w:p>
            <w:pPr>
              <w:numPr>
                <w:ilvl w:val="0"/>
                <w:numId w:val="4"/>
              </w:numPr>
              <w:spacing w:line="340" w:lineRule="exact"/>
              <w:ind w:left="425" w:leftChars="0" w:hanging="425" w:firstLineChars="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优秀（5分）：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较好，</w:t>
            </w:r>
            <w:r>
              <w:rPr>
                <w:rFonts w:hint="eastAsia" w:ascii="仿宋_GB2312" w:hAnsi="仿宋_GB2312" w:eastAsia="仿宋_GB2312" w:cs="仿宋_GB2312"/>
                <w:sz w:val="32"/>
                <w:szCs w:val="32"/>
                <w:highlight w:val="none"/>
              </w:rPr>
              <w:t>完整详细、</w:t>
            </w:r>
            <w:r>
              <w:rPr>
                <w:rFonts w:hint="eastAsia" w:ascii="仿宋_GB2312" w:hAnsi="仿宋_GB2312" w:eastAsia="仿宋_GB2312" w:cs="仿宋_GB2312"/>
                <w:sz w:val="32"/>
                <w:szCs w:val="32"/>
                <w:highlight w:val="none"/>
                <w:lang w:val="en-US" w:eastAsia="zh-CN"/>
              </w:rPr>
              <w:t>合理可行，满足比选文件要求，</w:t>
            </w:r>
            <w:r>
              <w:rPr>
                <w:rFonts w:hint="eastAsia" w:ascii="仿宋_GB2312" w:hAnsi="仿宋_GB2312" w:eastAsia="仿宋_GB2312" w:cs="仿宋_GB2312"/>
                <w:sz w:val="32"/>
                <w:szCs w:val="32"/>
                <w:highlight w:val="none"/>
              </w:rPr>
              <w:t>针对性强</w:t>
            </w:r>
            <w:r>
              <w:rPr>
                <w:rFonts w:hint="eastAsia" w:ascii="仿宋_GB2312" w:hAnsi="仿宋_GB2312" w:eastAsia="仿宋_GB2312" w:cs="仿宋_GB2312"/>
                <w:sz w:val="32"/>
                <w:szCs w:val="32"/>
                <w:highlight w:val="none"/>
                <w:lang w:eastAsia="zh-CN"/>
              </w:rPr>
              <w:t>；</w:t>
            </w:r>
          </w:p>
          <w:p>
            <w:pPr>
              <w:numPr>
                <w:ilvl w:val="0"/>
                <w:numId w:val="4"/>
              </w:numPr>
              <w:spacing w:line="340" w:lineRule="exact"/>
              <w:ind w:left="425" w:leftChars="0" w:hanging="425" w:firstLineChars="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良好（3分）：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一般，</w:t>
            </w:r>
            <w:r>
              <w:rPr>
                <w:rFonts w:hint="eastAsia" w:ascii="仿宋_GB2312" w:hAnsi="仿宋_GB2312" w:eastAsia="仿宋_GB2312" w:cs="仿宋_GB2312"/>
                <w:sz w:val="32"/>
                <w:szCs w:val="32"/>
                <w:highlight w:val="none"/>
              </w:rPr>
              <w:t>较完整、</w:t>
            </w:r>
            <w:r>
              <w:rPr>
                <w:rFonts w:hint="eastAsia" w:ascii="仿宋_GB2312" w:hAnsi="仿宋_GB2312" w:eastAsia="仿宋_GB2312" w:cs="仿宋_GB2312"/>
                <w:sz w:val="32"/>
                <w:szCs w:val="32"/>
                <w:highlight w:val="none"/>
                <w:lang w:val="en-US" w:eastAsia="zh-CN"/>
              </w:rPr>
              <w:t>基本合理可行，部分满足比选文件要求，针对性不强</w:t>
            </w:r>
            <w:r>
              <w:rPr>
                <w:rFonts w:hint="eastAsia" w:ascii="仿宋_GB2312" w:hAnsi="仿宋_GB2312" w:eastAsia="仿宋_GB2312" w:cs="仿宋_GB2312"/>
                <w:sz w:val="32"/>
                <w:szCs w:val="32"/>
                <w:highlight w:val="none"/>
                <w:lang w:eastAsia="zh-CN"/>
              </w:rPr>
              <w:t>；</w:t>
            </w:r>
          </w:p>
          <w:p>
            <w:pPr>
              <w:numPr>
                <w:ilvl w:val="0"/>
                <w:numId w:val="4"/>
              </w:numPr>
              <w:spacing w:line="340" w:lineRule="exact"/>
              <w:ind w:left="425" w:leftChars="0" w:hanging="425" w:firstLineChars="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待改进（2分）：</w:t>
            </w:r>
            <w:r>
              <w:rPr>
                <w:rFonts w:hint="eastAsia" w:ascii="仿宋_GB2312" w:hAnsi="仿宋_GB2312" w:eastAsia="仿宋_GB2312" w:cs="仿宋_GB2312"/>
                <w:sz w:val="32"/>
                <w:szCs w:val="32"/>
                <w:highlight w:val="none"/>
              </w:rPr>
              <w:t>方案</w:t>
            </w:r>
            <w:r>
              <w:rPr>
                <w:rFonts w:hint="eastAsia" w:ascii="仿宋_GB2312" w:hAnsi="仿宋_GB2312" w:eastAsia="仿宋_GB2312" w:cs="仿宋_GB2312"/>
                <w:sz w:val="32"/>
                <w:szCs w:val="32"/>
                <w:highlight w:val="none"/>
                <w:lang w:val="en-US" w:eastAsia="zh-CN"/>
              </w:rPr>
              <w:t>较差，不</w:t>
            </w:r>
            <w:r>
              <w:rPr>
                <w:rFonts w:hint="eastAsia" w:ascii="仿宋_GB2312" w:hAnsi="仿宋_GB2312" w:eastAsia="仿宋_GB2312" w:cs="仿宋_GB2312"/>
                <w:sz w:val="32"/>
                <w:szCs w:val="32"/>
                <w:highlight w:val="none"/>
              </w:rPr>
              <w:t>完整、</w:t>
            </w:r>
            <w:r>
              <w:rPr>
                <w:rFonts w:hint="eastAsia" w:ascii="仿宋_GB2312" w:hAnsi="仿宋_GB2312" w:eastAsia="仿宋_GB2312" w:cs="仿宋_GB2312"/>
                <w:sz w:val="32"/>
                <w:szCs w:val="32"/>
                <w:highlight w:val="none"/>
                <w:lang w:val="en-US" w:eastAsia="zh-CN"/>
              </w:rPr>
              <w:t>不合理、不可行</w:t>
            </w:r>
            <w:r>
              <w:rPr>
                <w:rFonts w:hint="eastAsia" w:ascii="仿宋_GB2312" w:hAnsi="仿宋_GB2312" w:eastAsia="仿宋_GB2312" w:cs="仿宋_GB2312"/>
                <w:sz w:val="32"/>
                <w:szCs w:val="32"/>
                <w:highlight w:val="none"/>
                <w:lang w:eastAsia="zh-CN"/>
              </w:rPr>
              <w:t>。</w:t>
            </w:r>
          </w:p>
        </w:tc>
        <w:tc>
          <w:tcPr>
            <w:tcW w:w="953" w:type="dxa"/>
            <w:vAlign w:val="center"/>
          </w:tcPr>
          <w:p>
            <w:pPr>
              <w:spacing w:line="34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分</w:t>
            </w:r>
          </w:p>
        </w:tc>
      </w:tr>
    </w:tbl>
    <w:p>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DD5D9B"/>
    <w:multiLevelType w:val="singleLevel"/>
    <w:tmpl w:val="84DD5D9B"/>
    <w:lvl w:ilvl="0" w:tentative="0">
      <w:start w:val="1"/>
      <w:numFmt w:val="decimal"/>
      <w:lvlText w:val="%1."/>
      <w:lvlJc w:val="left"/>
      <w:pPr>
        <w:ind w:left="425" w:hanging="425"/>
      </w:pPr>
      <w:rPr>
        <w:rFonts w:hint="default"/>
      </w:rPr>
    </w:lvl>
  </w:abstractNum>
  <w:abstractNum w:abstractNumId="1">
    <w:nsid w:val="A80721F2"/>
    <w:multiLevelType w:val="singleLevel"/>
    <w:tmpl w:val="A80721F2"/>
    <w:lvl w:ilvl="0" w:tentative="0">
      <w:start w:val="1"/>
      <w:numFmt w:val="decimal"/>
      <w:lvlText w:val="%1."/>
      <w:lvlJc w:val="left"/>
      <w:pPr>
        <w:ind w:left="425" w:hanging="425"/>
      </w:pPr>
      <w:rPr>
        <w:rFonts w:hint="default"/>
      </w:rPr>
    </w:lvl>
  </w:abstractNum>
  <w:abstractNum w:abstractNumId="2">
    <w:nsid w:val="FFAE2D0A"/>
    <w:multiLevelType w:val="singleLevel"/>
    <w:tmpl w:val="FFAE2D0A"/>
    <w:lvl w:ilvl="0" w:tentative="0">
      <w:start w:val="1"/>
      <w:numFmt w:val="decimal"/>
      <w:lvlText w:val="%1."/>
      <w:lvlJc w:val="left"/>
      <w:pPr>
        <w:ind w:left="425" w:hanging="425"/>
      </w:pPr>
      <w:rPr>
        <w:rFonts w:hint="default"/>
      </w:rPr>
    </w:lvl>
  </w:abstractNum>
  <w:abstractNum w:abstractNumId="3">
    <w:nsid w:val="0627E462"/>
    <w:multiLevelType w:val="singleLevel"/>
    <w:tmpl w:val="0627E462"/>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3F2422"/>
    <w:rsid w:val="02CA39F2"/>
    <w:rsid w:val="032B269D"/>
    <w:rsid w:val="07F37FB1"/>
    <w:rsid w:val="0A27098F"/>
    <w:rsid w:val="0A6328A1"/>
    <w:rsid w:val="0F6D7569"/>
    <w:rsid w:val="10EC66A3"/>
    <w:rsid w:val="124E5CE0"/>
    <w:rsid w:val="13B02268"/>
    <w:rsid w:val="13F532E6"/>
    <w:rsid w:val="185270BB"/>
    <w:rsid w:val="1F773F6E"/>
    <w:rsid w:val="201C4DE2"/>
    <w:rsid w:val="203A1B47"/>
    <w:rsid w:val="24796BDC"/>
    <w:rsid w:val="27931DFE"/>
    <w:rsid w:val="2D091A08"/>
    <w:rsid w:val="2F2B7E9C"/>
    <w:rsid w:val="303C43AB"/>
    <w:rsid w:val="31EF5A75"/>
    <w:rsid w:val="3361469C"/>
    <w:rsid w:val="338C1EF9"/>
    <w:rsid w:val="36BA40D7"/>
    <w:rsid w:val="37690ECC"/>
    <w:rsid w:val="3A137408"/>
    <w:rsid w:val="3B3F2422"/>
    <w:rsid w:val="3C901A88"/>
    <w:rsid w:val="3CD411E1"/>
    <w:rsid w:val="3CF869EC"/>
    <w:rsid w:val="41FB5C34"/>
    <w:rsid w:val="459E215E"/>
    <w:rsid w:val="492A2370"/>
    <w:rsid w:val="50945125"/>
    <w:rsid w:val="53DD0536"/>
    <w:rsid w:val="54AA4406"/>
    <w:rsid w:val="5C884300"/>
    <w:rsid w:val="5EE2621A"/>
    <w:rsid w:val="5F1360E6"/>
    <w:rsid w:val="5F8E2424"/>
    <w:rsid w:val="60215CC5"/>
    <w:rsid w:val="682B1A25"/>
    <w:rsid w:val="693B6710"/>
    <w:rsid w:val="6E63543D"/>
    <w:rsid w:val="6FA05F10"/>
    <w:rsid w:val="72231C3E"/>
    <w:rsid w:val="74AE0667"/>
    <w:rsid w:val="75E07081"/>
    <w:rsid w:val="79F02C0D"/>
    <w:rsid w:val="7AFE5136"/>
    <w:rsid w:val="7B3C02B9"/>
    <w:rsid w:val="7C9837B2"/>
    <w:rsid w:val="7DE45EDA"/>
    <w:rsid w:val="7E71099D"/>
    <w:rsid w:val="7EC63FEC"/>
    <w:rsid w:val="7F4048CA"/>
    <w:rsid w:val="7F79A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1"/>
    <w:rPr>
      <w:sz w:val="32"/>
      <w:szCs w:val="32"/>
    </w:rPr>
  </w:style>
  <w:style w:type="paragraph" w:styleId="3">
    <w:name w:val="Block Text"/>
    <w:basedOn w:val="1"/>
    <w:qFormat/>
    <w:uiPriority w:val="99"/>
    <w:pPr>
      <w:spacing w:line="460" w:lineRule="exact"/>
      <w:ind w:left="-171" w:leftChars="-171" w:right="-159" w:rightChars="-159" w:firstLine="450"/>
    </w:pPr>
    <w:rPr>
      <w:rFonts w:ascii="仿宋_GB2312" w:hAnsi="仿宋_GB2312" w:cs="仿宋_GB2312"/>
      <w:sz w:val="30"/>
      <w:szCs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4</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2024-01-09T15:20:00Z</dcterms:created>
  <dc:creator>Administrator</dc:creator>
  <cp:lastModifiedBy>2024.8.15</cp:lastModifiedBy>
  <dcterms:modified xsi:type="dcterms:W3CDTF">2026-09-20T07:06:59Z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FDF9AD6E85D652402B33AF6A3D0D6C4F_42</vt:lpwstr>
  </property>
</Properties>
</file>