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方正小标宋简体" w:hAnsi="黑体" w:eastAsia="方正小标宋简体"/>
          <w:sz w:val="44"/>
          <w:szCs w:val="44"/>
        </w:rPr>
      </w:pPr>
      <w:r>
        <w:rPr>
          <w:rFonts w:hint="eastAsia" w:ascii="方正小标宋简体" w:hAnsi="黑体" w:eastAsia="方正小标宋简体"/>
          <w:sz w:val="44"/>
          <w:szCs w:val="44"/>
        </w:rPr>
        <w:t>北京市西城区发展和改革委员会</w:t>
      </w:r>
    </w:p>
    <w:p>
      <w:pPr>
        <w:spacing w:line="560" w:lineRule="exact"/>
        <w:jc w:val="center"/>
        <w:rPr>
          <w:rFonts w:hint="eastAsia" w:ascii="方正小标宋简体" w:hAnsi="黑体" w:eastAsia="方正小标宋简体"/>
          <w:sz w:val="44"/>
          <w:szCs w:val="44"/>
        </w:rPr>
      </w:pPr>
      <w:r>
        <w:rPr>
          <w:rFonts w:hint="eastAsia" w:ascii="方正小标宋简体" w:hAnsi="黑体" w:eastAsia="方正小标宋简体"/>
          <w:sz w:val="44"/>
          <w:szCs w:val="44"/>
        </w:rPr>
        <w:t>西城区公共资源交易系统信息化能力提升</w:t>
      </w:r>
    </w:p>
    <w:p>
      <w:pPr>
        <w:spacing w:line="560" w:lineRule="exact"/>
        <w:jc w:val="center"/>
        <w:rPr>
          <w:rFonts w:hint="eastAsia" w:ascii="方正小标宋简体" w:hAnsi="方正小标宋简体" w:eastAsia="方正小标宋简体" w:cs="方正小标宋简体"/>
          <w:b/>
          <w:bCs/>
          <w:sz w:val="44"/>
          <w:szCs w:val="44"/>
        </w:rPr>
      </w:pPr>
      <w:r>
        <w:rPr>
          <w:rFonts w:hint="eastAsia" w:ascii="方正小标宋简体" w:hAnsi="黑体" w:eastAsia="方正小标宋简体"/>
          <w:sz w:val="44"/>
          <w:szCs w:val="44"/>
        </w:rPr>
        <w:t>项目比选公告</w:t>
      </w:r>
    </w:p>
    <w:p>
      <w:pPr>
        <w:spacing w:line="560" w:lineRule="exact"/>
        <w:ind w:firstLine="880" w:firstLineChars="200"/>
        <w:jc w:val="center"/>
        <w:rPr>
          <w:rFonts w:hint="eastAsia" w:ascii="方正小标宋简体" w:hAnsi="方正小标宋简体" w:eastAsia="方正小标宋简体" w:cs="方正小标宋简体"/>
          <w:sz w:val="44"/>
          <w:szCs w:val="44"/>
        </w:rPr>
      </w:pPr>
    </w:p>
    <w:p>
      <w:pPr>
        <w:pStyle w:val="9"/>
        <w:spacing w:line="560" w:lineRule="exact"/>
        <w:ind w:left="640" w:firstLine="0" w:firstLineChars="0"/>
        <w:rPr>
          <w:rFonts w:ascii="黑体" w:eastAsia="黑体"/>
          <w:bCs/>
          <w:sz w:val="32"/>
          <w:szCs w:val="32"/>
        </w:rPr>
      </w:pPr>
      <w:r>
        <w:rPr>
          <w:rFonts w:hint="eastAsia" w:ascii="黑体" w:eastAsia="黑体"/>
          <w:bCs/>
          <w:sz w:val="32"/>
          <w:szCs w:val="32"/>
        </w:rPr>
        <w:t>一、项目简介</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1.项目名称：西城区公共资源交易系统信息化能力提升项目。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2.预算金额：99.45万元。</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3.项目周期：本项目建设周期为自签订合同之日起 12 个月（含需求调研、数据治理、系统开发、测试部署、验收培训等关键环节）。</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4.项目内容：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（1）本次系统能力提升主要是针对西城区公共资源交易系统配合全市统一要求，进行信息化能力提升适配改造，改造内容如下：</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1.软件产品购置，</w:t>
      </w:r>
      <w:bookmarkStart w:id="0" w:name="OLE_LINK1"/>
      <w:r>
        <w:rPr>
          <w:rFonts w:hint="eastAsia" w:ascii="仿宋_GB2312" w:hAnsi="仿宋_GB2312" w:eastAsia="仿宋_GB2312" w:cs="仿宋_GB2312"/>
          <w:sz w:val="32"/>
          <w:szCs w:val="32"/>
        </w:rPr>
        <w:t>包括国产操作系统7套、国产数据库2套。服务器1套</w:t>
      </w:r>
      <w:bookmarkEnd w:id="0"/>
      <w:r>
        <w:rPr>
          <w:rFonts w:hint="eastAsia" w:ascii="仿宋_GB2312" w:hAnsi="仿宋_GB2312" w:eastAsia="仿宋_GB2312" w:cs="仿宋_GB2312"/>
          <w:sz w:val="32"/>
          <w:szCs w:val="32"/>
        </w:rPr>
        <w:t>。</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2.应用软件适配，改造后，产品适配于采购产品。</w:t>
      </w:r>
    </w:p>
    <w:p>
      <w:pPr>
        <w:pStyle w:val="3"/>
        <w:ind w:firstLine="707" w:firstLineChars="221"/>
        <w:rPr>
          <w:rFonts w:hint="eastAsia" w:ascii="仿宋_GB2312" w:hAnsi="仿宋_GB2312" w:eastAsia="仿宋_GB2312" w:cs="仿宋_GB2312"/>
        </w:rPr>
      </w:pPr>
      <w:r>
        <w:rPr>
          <w:rFonts w:hint="eastAsia" w:ascii="仿宋_GB2312" w:hAnsi="仿宋_GB2312" w:eastAsia="仿宋_GB2312" w:cs="仿宋_GB2312"/>
        </w:rPr>
        <w:t>3.完成改造后应完成等级保护二级测评，费用由中选方承担。</w:t>
      </w:r>
    </w:p>
    <w:p>
      <w:pPr>
        <w:pStyle w:val="9"/>
        <w:spacing w:line="560" w:lineRule="exact"/>
        <w:ind w:left="640" w:firstLine="0" w:firstLineChars="0"/>
        <w:rPr>
          <w:rFonts w:ascii="黑体" w:eastAsia="黑体"/>
          <w:bCs/>
          <w:sz w:val="32"/>
          <w:szCs w:val="32"/>
        </w:rPr>
      </w:pPr>
      <w:r>
        <w:rPr>
          <w:rFonts w:hint="eastAsia" w:ascii="黑体" w:eastAsia="黑体"/>
          <w:bCs/>
          <w:sz w:val="32"/>
          <w:szCs w:val="32"/>
        </w:rPr>
        <w:t>二、业务需求：</w:t>
      </w:r>
    </w:p>
    <w:p>
      <w:pPr>
        <w:pStyle w:val="3"/>
        <w:ind w:firstLine="707" w:firstLineChars="221"/>
        <w:rPr>
          <w:rFonts w:hint="eastAsia" w:ascii="仿宋_GB2312" w:hAnsi="仿宋_GB2312" w:eastAsia="仿宋_GB2312" w:cs="仿宋_GB2312"/>
        </w:rPr>
      </w:pPr>
      <w:r>
        <w:rPr>
          <w:rFonts w:hint="eastAsia" w:ascii="仿宋_GB2312" w:hAnsi="仿宋_GB2312" w:eastAsia="仿宋_GB2312" w:cs="仿宋_GB2312"/>
        </w:rPr>
        <w:t>1.</w:t>
      </w:r>
      <w:r>
        <w:rPr>
          <w:rFonts w:hint="eastAsia" w:ascii="仿宋_GB2312" w:hAnsi="仿宋_GB2312" w:eastAsia="仿宋_GB2312" w:cs="仿宋_GB2312"/>
        </w:rPr>
        <w:tab/>
      </w:r>
      <w:r>
        <w:rPr>
          <w:rFonts w:hint="eastAsia" w:ascii="仿宋_GB2312" w:hAnsi="仿宋_GB2312" w:eastAsia="仿宋_GB2312" w:cs="仿宋_GB2312"/>
        </w:rPr>
        <w:t>软件采购</w:t>
      </w:r>
    </w:p>
    <w:p>
      <w:pPr>
        <w:pStyle w:val="3"/>
        <w:ind w:firstLine="707" w:firstLineChars="221"/>
        <w:rPr>
          <w:rFonts w:hint="eastAsia" w:ascii="仿宋_GB2312" w:hAnsi="仿宋_GB2312" w:eastAsia="仿宋_GB2312" w:cs="仿宋_GB2312"/>
        </w:rPr>
      </w:pPr>
      <w:r>
        <w:rPr>
          <w:rFonts w:hint="eastAsia" w:ascii="仿宋_GB2312" w:hAnsi="仿宋_GB2312" w:eastAsia="仿宋_GB2312" w:cs="仿宋_GB2312"/>
        </w:rPr>
        <w:t>包括国产操作系统7套、国产数据库2套。服务器1套</w:t>
      </w:r>
    </w:p>
    <w:p>
      <w:pPr>
        <w:pStyle w:val="3"/>
        <w:ind w:firstLine="707" w:firstLineChars="221"/>
        <w:rPr>
          <w:rFonts w:hint="eastAsia" w:ascii="仿宋_GB2312" w:hAnsi="仿宋_GB2312" w:eastAsia="仿宋_GB2312" w:cs="仿宋_GB2312"/>
        </w:rPr>
      </w:pPr>
      <w:r>
        <w:rPr>
          <w:rFonts w:hint="eastAsia" w:ascii="仿宋_GB2312" w:hAnsi="仿宋_GB2312" w:eastAsia="仿宋_GB2312" w:cs="仿宋_GB2312"/>
        </w:rPr>
        <w:t>2.数据迁移</w:t>
      </w:r>
    </w:p>
    <w:p>
      <w:pPr>
        <w:pStyle w:val="3"/>
        <w:ind w:firstLine="707" w:firstLineChars="221"/>
        <w:rPr>
          <w:rFonts w:hint="eastAsia" w:ascii="仿宋_GB2312" w:hAnsi="仿宋_GB2312" w:eastAsia="仿宋_GB2312" w:cs="仿宋_GB2312"/>
        </w:rPr>
      </w:pPr>
      <w:r>
        <w:rPr>
          <w:rFonts w:hint="eastAsia" w:ascii="仿宋_GB2312" w:hAnsi="仿宋_GB2312" w:eastAsia="仿宋_GB2312" w:cs="仿宋_GB2312"/>
        </w:rPr>
        <w:t>完成从现在的 Mysql 数据库向新数据库的迁移、保证数据迁移的完整性、一致性。</w:t>
      </w:r>
    </w:p>
    <w:p>
      <w:pPr>
        <w:pStyle w:val="3"/>
        <w:ind w:firstLine="707" w:firstLineChars="221"/>
        <w:rPr>
          <w:rFonts w:hint="eastAsia" w:ascii="仿宋_GB2312" w:hAnsi="仿宋_GB2312" w:eastAsia="仿宋_GB2312" w:cs="仿宋_GB2312"/>
        </w:rPr>
      </w:pPr>
      <w:r>
        <w:rPr>
          <w:rFonts w:hint="eastAsia" w:ascii="仿宋_GB2312" w:hAnsi="仿宋_GB2312" w:eastAsia="仿宋_GB2312" w:cs="仿宋_GB2312"/>
        </w:rPr>
        <w:t>3.</w:t>
      </w:r>
      <w:r>
        <w:rPr>
          <w:rFonts w:hint="eastAsia" w:ascii="仿宋_GB2312" w:hAnsi="仿宋_GB2312" w:eastAsia="仿宋_GB2312" w:cs="仿宋_GB2312"/>
        </w:rPr>
        <w:tab/>
      </w:r>
      <w:r>
        <w:rPr>
          <w:rFonts w:hint="eastAsia" w:ascii="仿宋_GB2312" w:hAnsi="仿宋_GB2312" w:eastAsia="仿宋_GB2312" w:cs="仿宋_GB2312"/>
        </w:rPr>
        <w:t>应用系统改造</w:t>
      </w:r>
    </w:p>
    <w:p>
      <w:pPr>
        <w:pStyle w:val="3"/>
        <w:ind w:firstLine="707" w:firstLineChars="221"/>
        <w:rPr>
          <w:rFonts w:hint="eastAsia" w:ascii="仿宋_GB2312" w:hAnsi="仿宋_GB2312" w:eastAsia="仿宋_GB2312" w:cs="仿宋_GB2312"/>
        </w:rPr>
      </w:pPr>
      <w:r>
        <w:rPr>
          <w:rFonts w:hint="eastAsia" w:ascii="仿宋_GB2312" w:hAnsi="仿宋_GB2312" w:eastAsia="仿宋_GB2312" w:cs="仿宋_GB2312"/>
        </w:rPr>
        <w:t>完成应用程序与数据库的兼容性改造，修改与新数据库不兼容的 SQL 语句、存储过程、函数、视图和触发器等，保证应用系统功能正常，根据国产化数据库的优化方案对数据库访问进行优化，保证系统的运行性能不低于现在运行的ＭySql 数据库。</w:t>
      </w:r>
    </w:p>
    <w:p>
      <w:pPr>
        <w:pStyle w:val="3"/>
        <w:ind w:firstLine="707" w:firstLineChars="221"/>
        <w:rPr>
          <w:rFonts w:hint="eastAsia" w:ascii="仿宋_GB2312" w:hAnsi="仿宋_GB2312" w:eastAsia="仿宋_GB2312" w:cs="仿宋_GB2312"/>
        </w:rPr>
      </w:pPr>
      <w:r>
        <w:rPr>
          <w:rFonts w:hint="eastAsia" w:ascii="仿宋_GB2312" w:hAnsi="仿宋_GB2312" w:eastAsia="仿宋_GB2312" w:cs="仿宋_GB2312"/>
        </w:rPr>
        <w:t>4.</w:t>
      </w:r>
      <w:r>
        <w:rPr>
          <w:rFonts w:hint="eastAsia" w:ascii="仿宋_GB2312" w:hAnsi="仿宋_GB2312" w:eastAsia="仿宋_GB2312" w:cs="仿宋_GB2312"/>
        </w:rPr>
        <w:tab/>
      </w:r>
      <w:r>
        <w:rPr>
          <w:rFonts w:hint="eastAsia" w:ascii="仿宋_GB2312" w:hAnsi="仿宋_GB2312" w:eastAsia="仿宋_GB2312" w:cs="仿宋_GB2312"/>
        </w:rPr>
        <w:t>浏览器兼容性改造</w:t>
      </w:r>
    </w:p>
    <w:p>
      <w:pPr>
        <w:pStyle w:val="3"/>
        <w:ind w:firstLine="707" w:firstLineChars="221"/>
        <w:rPr>
          <w:rFonts w:hint="eastAsia" w:ascii="仿宋_GB2312" w:hAnsi="仿宋_GB2312" w:eastAsia="仿宋_GB2312" w:cs="仿宋_GB2312"/>
        </w:rPr>
      </w:pPr>
      <w:r>
        <w:rPr>
          <w:rFonts w:hint="eastAsia" w:ascii="仿宋_GB2312" w:hAnsi="仿宋_GB2312" w:eastAsia="仿宋_GB2312" w:cs="仿宋_GB2312"/>
        </w:rPr>
        <w:t>检查应用程序与新操作系统自带浏览器的兼容性，对于不兼容的内容进行优化改造，保证应用程序可以支持麒麟桌面操作系统和统信桌面操作系统自带的浏览器、兼容 360 浏览器和Windows 系统的主流浏览器，如谷歌浏览器、Edge 浏览器等。</w:t>
      </w:r>
    </w:p>
    <w:p>
      <w:pPr>
        <w:spacing w:line="560" w:lineRule="exact"/>
        <w:ind w:firstLine="640" w:firstLineChars="200"/>
        <w:rPr>
          <w:rFonts w:ascii="黑体" w:hAnsi="Calibri" w:eastAsia="黑体"/>
          <w:bCs/>
          <w:sz w:val="32"/>
          <w:szCs w:val="32"/>
        </w:rPr>
      </w:pPr>
      <w:r>
        <w:rPr>
          <w:rFonts w:hint="eastAsia" w:ascii="黑体" w:hAnsi="Calibri" w:eastAsia="黑体"/>
          <w:bCs/>
          <w:sz w:val="32"/>
          <w:szCs w:val="32"/>
        </w:rPr>
        <w:t>三、技术要求</w:t>
      </w:r>
    </w:p>
    <w:p>
      <w:pPr>
        <w:pStyle w:val="3"/>
        <w:spacing w:before="204"/>
        <w:ind w:right="-334"/>
      </w:pPr>
      <w:r>
        <w:rPr>
          <w:rFonts w:ascii="等线" w:eastAsia="等线"/>
          <w:spacing w:val="-2"/>
        </w:rPr>
        <w:t>1</w:t>
      </w:r>
      <w:r>
        <w:rPr>
          <w:spacing w:val="-4"/>
        </w:rPr>
        <w:t>、数据库技术参数</w:t>
      </w:r>
    </w:p>
    <w:p>
      <w:pPr>
        <w:pStyle w:val="3"/>
        <w:spacing w:before="1"/>
        <w:ind w:right="-334"/>
        <w:rPr>
          <w:sz w:val="12"/>
        </w:rPr>
      </w:pPr>
    </w:p>
    <w:tbl>
      <w:tblPr>
        <w:tblStyle w:val="10"/>
        <w:tblW w:w="849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1"/>
        <w:gridCol w:w="1596"/>
        <w:gridCol w:w="59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1" w:hRule="atLeast"/>
        </w:trPr>
        <w:tc>
          <w:tcPr>
            <w:tcW w:w="931" w:type="dxa"/>
          </w:tcPr>
          <w:p>
            <w:pPr>
              <w:pStyle w:val="11"/>
              <w:spacing w:before="28"/>
              <w:ind w:firstLine="140" w:firstLineChars="52"/>
              <w:jc w:val="center"/>
              <w:rPr>
                <w:rFonts w:hint="eastAsia"/>
                <w:sz w:val="28"/>
                <w:lang w:eastAsia="en-US"/>
              </w:rPr>
            </w:pPr>
            <w:r>
              <w:rPr>
                <w:spacing w:val="-5"/>
                <w:sz w:val="28"/>
                <w:lang w:eastAsia="en-US"/>
              </w:rPr>
              <w:t>序号</w:t>
            </w:r>
          </w:p>
        </w:tc>
        <w:tc>
          <w:tcPr>
            <w:tcW w:w="1596" w:type="dxa"/>
          </w:tcPr>
          <w:p>
            <w:pPr>
              <w:pStyle w:val="11"/>
              <w:spacing w:before="28"/>
              <w:ind w:firstLine="140" w:firstLineChars="52"/>
              <w:jc w:val="center"/>
              <w:rPr>
                <w:rFonts w:hint="eastAsia"/>
                <w:sz w:val="28"/>
                <w:lang w:eastAsia="en-US"/>
              </w:rPr>
            </w:pPr>
            <w:r>
              <w:rPr>
                <w:spacing w:val="-5"/>
                <w:sz w:val="28"/>
                <w:lang w:eastAsia="en-US"/>
              </w:rPr>
              <w:t>分类</w:t>
            </w:r>
          </w:p>
        </w:tc>
        <w:tc>
          <w:tcPr>
            <w:tcW w:w="5969" w:type="dxa"/>
          </w:tcPr>
          <w:p>
            <w:pPr>
              <w:pStyle w:val="11"/>
              <w:spacing w:before="28"/>
              <w:ind w:firstLine="142" w:firstLineChars="52"/>
              <w:jc w:val="center"/>
              <w:rPr>
                <w:rFonts w:hint="eastAsia"/>
                <w:sz w:val="28"/>
                <w:lang w:eastAsia="en-US"/>
              </w:rPr>
            </w:pPr>
            <w:r>
              <w:rPr>
                <w:spacing w:val="-3"/>
                <w:sz w:val="28"/>
                <w:lang w:eastAsia="en-US"/>
              </w:rPr>
              <w:t>指标要求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36" w:hRule="atLeast"/>
        </w:trPr>
        <w:tc>
          <w:tcPr>
            <w:tcW w:w="931" w:type="dxa"/>
          </w:tcPr>
          <w:p>
            <w:pPr>
              <w:pStyle w:val="11"/>
              <w:spacing w:before="247"/>
              <w:ind w:firstLine="145" w:firstLineChars="52"/>
              <w:rPr>
                <w:rFonts w:hint="eastAsia"/>
                <w:sz w:val="28"/>
                <w:lang w:eastAsia="en-US"/>
              </w:rPr>
            </w:pPr>
          </w:p>
          <w:p>
            <w:pPr>
              <w:pStyle w:val="11"/>
              <w:ind w:firstLine="135" w:firstLineChars="52"/>
              <w:rPr>
                <w:rFonts w:hint="eastAsia" w:ascii="等线"/>
                <w:sz w:val="28"/>
                <w:lang w:eastAsia="en-US"/>
              </w:rPr>
            </w:pPr>
            <w:r>
              <w:rPr>
                <w:rFonts w:ascii="等线"/>
                <w:spacing w:val="-10"/>
                <w:sz w:val="28"/>
                <w:lang w:eastAsia="en-US"/>
              </w:rPr>
              <w:t>1</w:t>
            </w:r>
          </w:p>
        </w:tc>
        <w:tc>
          <w:tcPr>
            <w:tcW w:w="1596" w:type="dxa"/>
          </w:tcPr>
          <w:p>
            <w:pPr>
              <w:pStyle w:val="11"/>
              <w:spacing w:before="230"/>
              <w:ind w:firstLine="145" w:firstLineChars="52"/>
              <w:rPr>
                <w:rFonts w:hint="eastAsia"/>
                <w:sz w:val="28"/>
                <w:lang w:eastAsia="en-US"/>
              </w:rPr>
            </w:pPr>
          </w:p>
          <w:p>
            <w:pPr>
              <w:pStyle w:val="11"/>
              <w:ind w:firstLine="142" w:firstLineChars="52"/>
              <w:rPr>
                <w:rFonts w:hint="eastAsia"/>
                <w:sz w:val="28"/>
                <w:lang w:eastAsia="en-US"/>
              </w:rPr>
            </w:pPr>
            <w:r>
              <w:rPr>
                <w:spacing w:val="-3"/>
                <w:sz w:val="28"/>
                <w:lang w:eastAsia="en-US"/>
              </w:rPr>
              <w:t>通用要求</w:t>
            </w:r>
          </w:p>
        </w:tc>
        <w:tc>
          <w:tcPr>
            <w:tcW w:w="5969" w:type="dxa"/>
          </w:tcPr>
          <w:p>
            <w:pPr>
              <w:pStyle w:val="11"/>
              <w:spacing w:before="204"/>
              <w:ind w:firstLine="143" w:firstLineChars="52"/>
              <w:rPr>
                <w:rFonts w:hint="eastAsia"/>
                <w:sz w:val="28"/>
                <w:lang w:eastAsia="zh-CN"/>
              </w:rPr>
            </w:pPr>
            <w:r>
              <w:rPr>
                <w:rFonts w:ascii="等线" w:hAnsi="等线" w:eastAsia="等线"/>
                <w:spacing w:val="-2"/>
                <w:sz w:val="28"/>
                <w:lang w:eastAsia="zh-CN"/>
              </w:rPr>
              <w:t>★</w:t>
            </w:r>
            <w:r>
              <w:rPr>
                <w:spacing w:val="-2"/>
                <w:sz w:val="28"/>
                <w:lang w:eastAsia="zh-CN"/>
              </w:rPr>
              <w:t>产品型号</w:t>
            </w:r>
            <w:r>
              <w:rPr>
                <w:rFonts w:hint="eastAsia"/>
                <w:spacing w:val="-2"/>
                <w:sz w:val="28"/>
                <w:lang w:eastAsia="zh-CN"/>
              </w:rPr>
              <w:t>应在现行有效的安全可靠测评结果公告任一期名单内（截至响应文件递交日仍在三年有效期内），供应商出具承诺函；提供中国信息安全测评中心（www.itsec.gov.cn）或国家保密科技测评中心官网查询链接及截图作为佐证</w:t>
            </w:r>
            <w:r>
              <w:rPr>
                <w:spacing w:val="-3"/>
                <w:sz w:val="28"/>
                <w:lang w:eastAsia="zh-CN"/>
              </w:rPr>
              <w:t>，并加盖</w:t>
            </w:r>
            <w:r>
              <w:rPr>
                <w:rFonts w:hint="eastAsia"/>
                <w:spacing w:val="-3"/>
                <w:sz w:val="28"/>
                <w:lang w:eastAsia="zh-CN"/>
              </w:rPr>
              <w:t>比选</w:t>
            </w:r>
            <w:r>
              <w:rPr>
                <w:spacing w:val="-3"/>
                <w:sz w:val="28"/>
                <w:lang w:eastAsia="zh-CN"/>
              </w:rPr>
              <w:t>人公章。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03" w:hRule="atLeast"/>
        </w:trPr>
        <w:tc>
          <w:tcPr>
            <w:tcW w:w="931" w:type="dxa"/>
          </w:tcPr>
          <w:p>
            <w:pPr>
              <w:pStyle w:val="11"/>
              <w:ind w:firstLine="145" w:firstLineChars="52"/>
              <w:rPr>
                <w:rFonts w:hint="eastAsia"/>
                <w:sz w:val="28"/>
                <w:lang w:eastAsia="zh-CN"/>
              </w:rPr>
            </w:pPr>
          </w:p>
          <w:p>
            <w:pPr>
              <w:pStyle w:val="11"/>
              <w:ind w:firstLine="145" w:firstLineChars="52"/>
              <w:rPr>
                <w:rFonts w:hint="eastAsia"/>
                <w:sz w:val="28"/>
                <w:lang w:eastAsia="zh-CN"/>
              </w:rPr>
            </w:pPr>
          </w:p>
          <w:p>
            <w:pPr>
              <w:pStyle w:val="11"/>
              <w:spacing w:before="348"/>
              <w:ind w:firstLine="145" w:firstLineChars="52"/>
              <w:rPr>
                <w:rFonts w:hint="eastAsia"/>
                <w:sz w:val="28"/>
                <w:lang w:eastAsia="zh-CN"/>
              </w:rPr>
            </w:pPr>
          </w:p>
          <w:p>
            <w:pPr>
              <w:pStyle w:val="11"/>
              <w:spacing w:before="1"/>
              <w:ind w:firstLine="135" w:firstLineChars="52"/>
              <w:rPr>
                <w:rFonts w:hint="eastAsia" w:ascii="等线"/>
                <w:sz w:val="28"/>
                <w:lang w:eastAsia="en-US"/>
              </w:rPr>
            </w:pPr>
            <w:r>
              <w:rPr>
                <w:rFonts w:ascii="等线"/>
                <w:spacing w:val="-10"/>
                <w:sz w:val="28"/>
                <w:lang w:eastAsia="en-US"/>
              </w:rPr>
              <w:t>2</w:t>
            </w:r>
          </w:p>
        </w:tc>
        <w:tc>
          <w:tcPr>
            <w:tcW w:w="1596" w:type="dxa"/>
          </w:tcPr>
          <w:p>
            <w:pPr>
              <w:pStyle w:val="11"/>
              <w:ind w:firstLine="145" w:firstLineChars="52"/>
              <w:rPr>
                <w:rFonts w:hint="eastAsia"/>
                <w:sz w:val="28"/>
                <w:lang w:eastAsia="en-US"/>
              </w:rPr>
            </w:pPr>
          </w:p>
          <w:p>
            <w:pPr>
              <w:pStyle w:val="11"/>
              <w:ind w:firstLine="145" w:firstLineChars="52"/>
              <w:rPr>
                <w:rFonts w:hint="eastAsia"/>
                <w:sz w:val="28"/>
                <w:lang w:eastAsia="en-US"/>
              </w:rPr>
            </w:pPr>
          </w:p>
          <w:p>
            <w:pPr>
              <w:pStyle w:val="11"/>
              <w:spacing w:before="331"/>
              <w:ind w:firstLine="145" w:firstLineChars="52"/>
              <w:rPr>
                <w:rFonts w:hint="eastAsia"/>
                <w:sz w:val="28"/>
                <w:lang w:eastAsia="en-US"/>
              </w:rPr>
            </w:pPr>
          </w:p>
          <w:p>
            <w:pPr>
              <w:pStyle w:val="11"/>
              <w:ind w:firstLine="142" w:firstLineChars="52"/>
              <w:rPr>
                <w:rFonts w:hint="eastAsia"/>
                <w:sz w:val="28"/>
                <w:lang w:eastAsia="en-US"/>
              </w:rPr>
            </w:pPr>
            <w:r>
              <w:rPr>
                <w:spacing w:val="-3"/>
                <w:sz w:val="28"/>
                <w:lang w:eastAsia="en-US"/>
              </w:rPr>
              <w:t>通用要求</w:t>
            </w:r>
          </w:p>
        </w:tc>
        <w:tc>
          <w:tcPr>
            <w:tcW w:w="5969" w:type="dxa"/>
          </w:tcPr>
          <w:p>
            <w:pPr>
              <w:pStyle w:val="11"/>
              <w:spacing w:before="204"/>
              <w:ind w:firstLine="143" w:firstLineChars="52"/>
              <w:rPr>
                <w:rFonts w:hint="eastAsia"/>
                <w:spacing w:val="-2"/>
                <w:sz w:val="28"/>
                <w:lang w:eastAsia="en-US"/>
              </w:rPr>
            </w:pPr>
            <w:r>
              <w:rPr>
                <w:rFonts w:hint="eastAsia"/>
                <w:spacing w:val="-2"/>
                <w:sz w:val="28"/>
                <w:lang w:val="en-US" w:eastAsia="zh-CN"/>
              </w:rPr>
              <w:t>★所投国产数据库产品应当通过国家认可的信息安全认证/评估机构依据 GB/T 20273-2019《信息安全技术 数据库管理系统安全技术要求》及 GB/T 18336《信息技术安全技术信息技术安全评估准则》。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445" w:hRule="atLeast"/>
        </w:trPr>
        <w:tc>
          <w:tcPr>
            <w:tcW w:w="931"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3</w:t>
            </w:r>
          </w:p>
        </w:tc>
        <w:tc>
          <w:tcPr>
            <w:tcW w:w="1596"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功能要求</w:t>
            </w:r>
          </w:p>
        </w:tc>
        <w:tc>
          <w:tcPr>
            <w:tcW w:w="5969" w:type="dxa"/>
          </w:tcPr>
          <w:p>
            <w:pPr>
              <w:autoSpaceDE w:val="0"/>
              <w:autoSpaceDN w:val="0"/>
              <w:spacing w:after="0" w:line="560" w:lineRule="exact"/>
              <w:ind w:firstLine="143" w:firstLineChars="52"/>
              <w:rPr>
                <w:rFonts w:hint="eastAsia" w:ascii="华文仿宋" w:hAnsi="华文仿宋" w:eastAsia="华文仿宋" w:cs="华文仿宋"/>
                <w:spacing w:val="-2"/>
                <w:kern w:val="0"/>
                <w:sz w:val="28"/>
                <w:szCs w:val="22"/>
                <w:lang w:val="en-US" w:eastAsia="en-US" w:bidi="ar-SA"/>
              </w:rPr>
            </w:pPr>
            <w:r>
              <w:rPr>
                <w:rFonts w:hint="eastAsia" w:ascii="华文仿宋" w:hAnsi="华文仿宋" w:eastAsia="华文仿宋" w:cs="华文仿宋"/>
                <w:spacing w:val="-2"/>
                <w:kern w:val="0"/>
                <w:sz w:val="28"/>
                <w:szCs w:val="22"/>
                <w:lang w:val="en-US" w:eastAsia="zh-CN" w:bidi="ar-SA"/>
              </w:rPr>
              <w:t>#支持在国产化平台上进行安装部署，采用一套代码同时兼容多款异构数据库，安装过程中可选择Oracle、Mysql、SQL Server、</w:t>
            </w:r>
            <w:r>
              <w:rPr>
                <w:rFonts w:hint="eastAsia" w:ascii="华文仿宋" w:hAnsi="华文仿宋" w:eastAsia="华文仿宋" w:cs="华文仿宋"/>
                <w:spacing w:val="-2"/>
                <w:kern w:val="0"/>
                <w:sz w:val="28"/>
                <w:szCs w:val="22"/>
                <w:lang w:val="en-US" w:eastAsia="en-US" w:bidi="ar-SA"/>
              </w:rPr>
              <w:t>Postgresql 任意一种模式进行初始化，降低运</w:t>
            </w:r>
            <w:r>
              <w:rPr>
                <w:rFonts w:hint="eastAsia" w:ascii="华文仿宋" w:hAnsi="华文仿宋" w:eastAsia="华文仿宋" w:cs="华文仿宋"/>
                <w:spacing w:val="-2"/>
                <w:kern w:val="0"/>
                <w:sz w:val="28"/>
                <w:szCs w:val="22"/>
                <w:lang w:val="en-US" w:eastAsia="zh-CN" w:bidi="ar-SA"/>
              </w:rPr>
              <w:t>维管控成本。数据库管理系统支持采用一套代码同时兼容多款异构数据库，数据库实例初始化时支持Oracle、Mysql、SQL Server、 Postgresql 兼容模式选择以体现广泛的应用兼</w:t>
            </w:r>
            <w:r>
              <w:rPr>
                <w:rFonts w:hint="eastAsia" w:ascii="华文仿宋" w:hAnsi="华文仿宋" w:eastAsia="华文仿宋" w:cs="华文仿宋"/>
                <w:spacing w:val="-2"/>
                <w:kern w:val="0"/>
                <w:sz w:val="28"/>
                <w:szCs w:val="22"/>
                <w:lang w:val="en-US" w:eastAsia="en-US" w:bidi="ar-SA"/>
              </w:rPr>
              <w:t>容能力。</w:t>
            </w:r>
          </w:p>
          <w:p>
            <w:pPr>
              <w:pStyle w:val="2"/>
              <w:autoSpaceDE w:val="0"/>
              <w:autoSpaceDN w:val="0"/>
              <w:rPr>
                <w:rFonts w:hint="eastAsia" w:ascii="华文仿宋" w:hAnsi="华文仿宋" w:eastAsia="华文仿宋" w:cs="华文仿宋"/>
                <w:spacing w:val="-2"/>
                <w:kern w:val="0"/>
                <w:sz w:val="28"/>
                <w:szCs w:val="22"/>
                <w:lang w:val="en-US" w:eastAsia="en-US"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445" w:hRule="atLeast"/>
        </w:trPr>
        <w:tc>
          <w:tcPr>
            <w:tcW w:w="931" w:type="dxa"/>
            <w:shd w:val="clear" w:color="auto" w:fill="auto"/>
            <w:vAlign w:val="top"/>
          </w:tcPr>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kern w:val="2"/>
                <w:sz w:val="32"/>
                <w:szCs w:val="32"/>
                <w:lang w:val="en-US" w:eastAsia="en-US" w:bidi="ar-SA"/>
              </w:rPr>
            </w:pPr>
            <w:r>
              <w:rPr>
                <w:rFonts w:ascii="仿宋_GB2312" w:hAnsi="仿宋_GB2312" w:eastAsia="仿宋_GB2312" w:cs="仿宋_GB2312"/>
                <w:sz w:val="32"/>
                <w:szCs w:val="32"/>
                <w:lang w:eastAsia="en-US"/>
              </w:rPr>
              <w:t>4</w:t>
            </w:r>
          </w:p>
        </w:tc>
        <w:tc>
          <w:tcPr>
            <w:tcW w:w="1596" w:type="dxa"/>
            <w:shd w:val="clear" w:color="auto" w:fill="auto"/>
            <w:vAlign w:val="top"/>
          </w:tcPr>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kern w:val="2"/>
                <w:sz w:val="32"/>
                <w:szCs w:val="32"/>
                <w:lang w:val="en-US" w:eastAsia="en-US" w:bidi="ar-SA"/>
              </w:rPr>
            </w:pPr>
            <w:r>
              <w:rPr>
                <w:rFonts w:ascii="仿宋_GB2312" w:hAnsi="仿宋_GB2312" w:eastAsia="仿宋_GB2312" w:cs="仿宋_GB2312"/>
                <w:sz w:val="32"/>
                <w:szCs w:val="32"/>
                <w:lang w:eastAsia="en-US"/>
              </w:rPr>
              <w:t>功能要求</w:t>
            </w:r>
          </w:p>
        </w:tc>
        <w:tc>
          <w:tcPr>
            <w:tcW w:w="5969" w:type="dxa"/>
            <w:shd w:val="clear" w:color="auto" w:fill="auto"/>
            <w:vAlign w:val="top"/>
          </w:tcPr>
          <w:p>
            <w:pPr>
              <w:autoSpaceDE w:val="0"/>
              <w:autoSpaceDN w:val="0"/>
              <w:spacing w:after="0" w:line="560" w:lineRule="exact"/>
              <w:ind w:firstLine="143" w:firstLineChars="52"/>
              <w:rPr>
                <w:rFonts w:hint="eastAsia" w:ascii="华文仿宋" w:hAnsi="华文仿宋" w:eastAsia="华文仿宋" w:cs="华文仿宋"/>
                <w:spacing w:val="-2"/>
                <w:kern w:val="0"/>
                <w:sz w:val="28"/>
                <w:szCs w:val="22"/>
                <w:lang w:val="en-US" w:eastAsia="en-US" w:bidi="ar-SA"/>
              </w:rPr>
            </w:pPr>
            <w:r>
              <w:rPr>
                <w:rFonts w:hint="eastAsia" w:ascii="华文仿宋" w:hAnsi="华文仿宋" w:eastAsia="华文仿宋" w:cs="华文仿宋"/>
                <w:spacing w:val="-2"/>
                <w:kern w:val="0"/>
                <w:sz w:val="28"/>
                <w:szCs w:val="22"/>
                <w:lang w:val="en-US" w:eastAsia="en-US" w:bidi="ar-SA"/>
              </w:rPr>
              <w:t>#兼容SQLServer 的内置系统视图，包括 SYS.DEFAULT_CONSTRAINTS</w:t>
            </w:r>
            <w:r>
              <w:rPr>
                <w:rFonts w:hint="eastAsia" w:ascii="华文仿宋" w:hAnsi="华文仿宋" w:eastAsia="华文仿宋" w:cs="华文仿宋"/>
                <w:spacing w:val="-2"/>
                <w:kern w:val="0"/>
                <w:sz w:val="28"/>
                <w:szCs w:val="22"/>
                <w:lang w:val="en-US" w:eastAsia="zh-CN" w:bidi="ar-SA"/>
              </w:rPr>
              <w:t>、</w:t>
            </w:r>
            <w:r>
              <w:rPr>
                <w:rFonts w:hint="eastAsia" w:ascii="华文仿宋" w:hAnsi="华文仿宋" w:eastAsia="华文仿宋" w:cs="华文仿宋"/>
                <w:spacing w:val="-2"/>
                <w:kern w:val="0"/>
                <w:sz w:val="28"/>
                <w:szCs w:val="22"/>
                <w:lang w:val="en-US" w:eastAsia="en-US" w:bidi="ar-SA"/>
              </w:rPr>
              <w:t>SYS.FILEGROUPS、 SYS.DM_EXEC_XML_HANDLES,兼容系统表MASTER.DBO.SPT_VALUES；上述功能须提供第三方检测机构（检测报告须带有 CMA 或CNAS</w:t>
            </w:r>
            <w:r>
              <w:rPr>
                <w:rFonts w:hint="eastAsia" w:ascii="华文仿宋" w:hAnsi="华文仿宋" w:eastAsia="华文仿宋" w:cs="华文仿宋"/>
                <w:spacing w:val="-2"/>
                <w:kern w:val="0"/>
                <w:sz w:val="28"/>
                <w:szCs w:val="22"/>
                <w:lang w:val="en-US" w:eastAsia="zh-CN" w:bidi="ar-SA"/>
              </w:rPr>
              <w:t>标志）出具的相关检测报告；</w:t>
            </w:r>
          </w:p>
        </w:tc>
      </w:tr>
    </w:tbl>
    <w:p>
      <w:pPr>
        <w:spacing w:line="560" w:lineRule="exact"/>
        <w:ind w:firstLine="166" w:firstLineChars="52"/>
        <w:rPr>
          <w:rFonts w:hint="eastAsia" w:ascii="仿宋_GB2312" w:hAnsi="仿宋_GB2312" w:eastAsia="仿宋_GB2312" w:cs="仿宋_GB2312"/>
          <w:sz w:val="32"/>
          <w:szCs w:val="32"/>
        </w:rPr>
        <w:sectPr>
          <w:pgSz w:w="11910" w:h="16840"/>
          <w:pgMar w:top="1160" w:right="1275" w:bottom="1320" w:left="1133" w:header="859" w:footer="1129" w:gutter="0"/>
          <w:cols w:space="720" w:num="1"/>
        </w:sectPr>
      </w:pPr>
    </w:p>
    <w:p>
      <w:pPr>
        <w:spacing w:line="560" w:lineRule="exact"/>
        <w:ind w:firstLine="166" w:firstLineChars="52"/>
        <w:rPr>
          <w:rFonts w:hint="eastAsia" w:ascii="仿宋_GB2312" w:hAnsi="仿宋_GB2312" w:eastAsia="仿宋_GB2312" w:cs="仿宋_GB2312"/>
          <w:sz w:val="32"/>
          <w:szCs w:val="32"/>
        </w:rPr>
      </w:pPr>
    </w:p>
    <w:tbl>
      <w:tblPr>
        <w:tblStyle w:val="10"/>
        <w:tblW w:w="8496" w:type="dxa"/>
        <w:tblInd w:w="78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1"/>
        <w:gridCol w:w="1596"/>
        <w:gridCol w:w="59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03" w:hRule="atLeast"/>
        </w:trPr>
        <w:tc>
          <w:tcPr>
            <w:tcW w:w="931"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5</w:t>
            </w:r>
          </w:p>
        </w:tc>
        <w:tc>
          <w:tcPr>
            <w:tcW w:w="1596"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功能要求</w:t>
            </w:r>
          </w:p>
        </w:tc>
        <w:tc>
          <w:tcPr>
            <w:tcW w:w="5969" w:type="dxa"/>
          </w:tcPr>
          <w:p>
            <w:pPr>
              <w:autoSpaceDE w:val="0"/>
              <w:autoSpaceDN w:val="0"/>
              <w:spacing w:after="0" w:line="560" w:lineRule="exact"/>
              <w:ind w:firstLine="143" w:firstLineChars="52"/>
              <w:rPr>
                <w:rFonts w:hint="eastAsia" w:ascii="华文仿宋" w:hAnsi="华文仿宋" w:eastAsia="华文仿宋" w:cs="华文仿宋"/>
                <w:spacing w:val="-2"/>
                <w:kern w:val="0"/>
                <w:sz w:val="28"/>
                <w:szCs w:val="22"/>
                <w:lang w:val="en-US" w:eastAsia="zh-CN" w:bidi="ar-SA"/>
              </w:rPr>
            </w:pPr>
            <w:r>
              <w:rPr>
                <w:rFonts w:hint="eastAsia" w:ascii="华文仿宋" w:hAnsi="华文仿宋" w:eastAsia="华文仿宋" w:cs="华文仿宋"/>
                <w:spacing w:val="-2"/>
                <w:kern w:val="0"/>
                <w:sz w:val="28"/>
                <w:szCs w:val="22"/>
                <w:lang w:val="en-US" w:eastAsia="en-US" w:bidi="ar-SA"/>
              </w:rPr>
              <w:t>#支持在创建索引create index 与更新索引 alter index 语句中使用并行子句 parallel_clause 设定索引创建的并行性。支持通过关键字 PARALLEL 指定 创建索引时启用并行创建功能，支持通过在PARALLEL 关键字后设置并行进程数；支持通过 NO PARALLEL 关键字指定创建索引时关闭并行创建功能。</w:t>
            </w:r>
            <w:r>
              <w:rPr>
                <w:rFonts w:hint="eastAsia" w:ascii="华文仿宋" w:hAnsi="华文仿宋" w:eastAsia="华文仿宋" w:cs="华文仿宋"/>
                <w:spacing w:val="-2"/>
                <w:kern w:val="0"/>
                <w:sz w:val="28"/>
                <w:szCs w:val="22"/>
                <w:lang w:val="en-US" w:eastAsia="zh-CN" w:bidi="ar-SA"/>
              </w:rPr>
              <w:t>上述功能须提供第三方检测机构（检测报告须带有CMA 或CNAS 标志）出具的相关检测报告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1" w:hRule="atLeast"/>
        </w:trPr>
        <w:tc>
          <w:tcPr>
            <w:tcW w:w="931"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6</w:t>
            </w:r>
          </w:p>
        </w:tc>
        <w:tc>
          <w:tcPr>
            <w:tcW w:w="1596"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功能要求</w:t>
            </w:r>
          </w:p>
        </w:tc>
        <w:tc>
          <w:tcPr>
            <w:tcW w:w="5969" w:type="dxa"/>
          </w:tcPr>
          <w:p>
            <w:pPr>
              <w:autoSpaceDE w:val="0"/>
              <w:autoSpaceDN w:val="0"/>
              <w:spacing w:after="0" w:line="560" w:lineRule="exact"/>
              <w:ind w:firstLine="143" w:firstLineChars="52"/>
              <w:rPr>
                <w:rFonts w:hint="eastAsia" w:ascii="华文仿宋" w:hAnsi="华文仿宋" w:eastAsia="华文仿宋" w:cs="华文仿宋"/>
                <w:spacing w:val="-2"/>
                <w:kern w:val="0"/>
                <w:sz w:val="28"/>
                <w:szCs w:val="22"/>
                <w:lang w:val="en-US" w:eastAsia="zh-CN" w:bidi="ar-SA"/>
              </w:rPr>
            </w:pPr>
            <w:r>
              <w:rPr>
                <w:rFonts w:hint="eastAsia" w:ascii="华文仿宋" w:hAnsi="华文仿宋" w:eastAsia="华文仿宋" w:cs="华文仿宋"/>
                <w:spacing w:val="-2"/>
                <w:kern w:val="0"/>
                <w:sz w:val="28"/>
                <w:szCs w:val="22"/>
                <w:lang w:val="en-US" w:eastAsia="zh-CN" w:bidi="ar-SA"/>
              </w:rPr>
              <w:t>支持原生时空数据类型，支持时间维度与空间维度的一体化建模； 提供时空一体运算、时空索引、时空聚合分析、轨迹函数库、时间 插值与连续性处理能力，可大幅简化复杂时空计算逻辑。上述功能须提供第三方检测机构（检测报告须带有CMA 或CNAS 标志）出具的相关</w:t>
            </w:r>
            <w:r>
              <w:rPr>
                <w:rFonts w:hint="eastAsia" w:ascii="华文仿宋" w:hAnsi="华文仿宋" w:eastAsia="华文仿宋" w:cs="华文仿宋"/>
                <w:spacing w:val="-2"/>
                <w:kern w:val="0"/>
                <w:sz w:val="28"/>
                <w:szCs w:val="22"/>
                <w:lang w:val="en-US" w:eastAsia="en-US" w:bidi="ar-SA"/>
              </w:rPr>
              <w:t>检测报告</w:t>
            </w:r>
          </w:p>
        </w:tc>
      </w:tr>
    </w:tbl>
    <w:p>
      <w:pPr>
        <w:spacing w:line="560" w:lineRule="exact"/>
        <w:ind w:firstLine="166" w:firstLineChars="52"/>
        <w:rPr>
          <w:rFonts w:hint="eastAsia" w:ascii="仿宋_GB2312" w:hAnsi="仿宋_GB2312" w:eastAsia="仿宋_GB2312" w:cs="仿宋_GB2312"/>
          <w:sz w:val="32"/>
          <w:szCs w:val="32"/>
        </w:rPr>
        <w:sectPr>
          <w:pgSz w:w="11910" w:h="16840"/>
          <w:pgMar w:top="1160" w:right="1275" w:bottom="1320" w:left="1133" w:header="859" w:footer="1129" w:gutter="0"/>
          <w:cols w:space="720" w:num="1"/>
        </w:sectPr>
      </w:pPr>
    </w:p>
    <w:p>
      <w:pPr>
        <w:spacing w:line="560" w:lineRule="exact"/>
        <w:ind w:firstLine="166" w:firstLineChars="52"/>
        <w:rPr>
          <w:rFonts w:hint="eastAsia" w:ascii="仿宋_GB2312" w:hAnsi="仿宋_GB2312" w:eastAsia="仿宋_GB2312" w:cs="仿宋_GB2312"/>
          <w:sz w:val="32"/>
          <w:szCs w:val="32"/>
        </w:rPr>
      </w:pPr>
    </w:p>
    <w:tbl>
      <w:tblPr>
        <w:tblStyle w:val="10"/>
        <w:tblW w:w="8496" w:type="dxa"/>
        <w:tblInd w:w="78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1"/>
        <w:gridCol w:w="1596"/>
        <w:gridCol w:w="59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2" w:hRule="atLeast"/>
        </w:trPr>
        <w:tc>
          <w:tcPr>
            <w:tcW w:w="931"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7</w:t>
            </w:r>
          </w:p>
        </w:tc>
        <w:tc>
          <w:tcPr>
            <w:tcW w:w="1596"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功能要求</w:t>
            </w:r>
          </w:p>
        </w:tc>
        <w:tc>
          <w:tcPr>
            <w:tcW w:w="5969" w:type="dxa"/>
          </w:tcPr>
          <w:p>
            <w:pPr>
              <w:autoSpaceDE w:val="0"/>
              <w:autoSpaceDN w:val="0"/>
              <w:spacing w:after="0" w:line="560" w:lineRule="exact"/>
              <w:ind w:firstLine="143" w:firstLineChars="52"/>
              <w:rPr>
                <w:rFonts w:hint="eastAsia" w:ascii="华文仿宋" w:hAnsi="华文仿宋" w:eastAsia="华文仿宋" w:cs="华文仿宋"/>
                <w:spacing w:val="-2"/>
                <w:kern w:val="0"/>
                <w:sz w:val="28"/>
                <w:szCs w:val="22"/>
                <w:lang w:val="en-US" w:eastAsia="zh-CN" w:bidi="ar-SA"/>
              </w:rPr>
            </w:pPr>
            <w:r>
              <w:rPr>
                <w:rFonts w:hint="eastAsia" w:ascii="华文仿宋" w:hAnsi="华文仿宋" w:eastAsia="华文仿宋" w:cs="华文仿宋"/>
                <w:spacing w:val="-2"/>
                <w:kern w:val="0"/>
                <w:sz w:val="28"/>
                <w:szCs w:val="22"/>
                <w:lang w:val="en-US" w:eastAsia="zh-CN" w:bidi="ar-SA"/>
              </w:rPr>
              <w:t>#提供QueryMapping 查询映射功能，支持对 DQL、DML 及特定 DDL 等 SQL 语法的解析；支持语句级的Wildcard 模式，以实现对表名、列名及变长数组的模糊匹配；支持对负数常量的精准识别，并具备将单条 SQL 语 句转换为多条执行语句的拆分能力，并在 Text、 Wildcard、Semantics 多种模式下支持前后台函数的匹配，并配套提供专用的 SQL 转换工具、 Debug 调试工具及数据缓存机制；上述功能须提供第三方检测机构（检测报告须带有 CMA或CNAS 标志）出具的相关检测报告；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57" w:hRule="atLeast"/>
        </w:trPr>
        <w:tc>
          <w:tcPr>
            <w:tcW w:w="931"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8</w:t>
            </w:r>
          </w:p>
        </w:tc>
        <w:tc>
          <w:tcPr>
            <w:tcW w:w="1596"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安全要求</w:t>
            </w:r>
          </w:p>
        </w:tc>
        <w:tc>
          <w:tcPr>
            <w:tcW w:w="5969" w:type="dxa"/>
          </w:tcPr>
          <w:p>
            <w:pPr>
              <w:autoSpaceDE w:val="0"/>
              <w:autoSpaceDN w:val="0"/>
              <w:spacing w:after="0" w:line="560" w:lineRule="exact"/>
              <w:ind w:firstLine="143" w:firstLineChars="52"/>
              <w:rPr>
                <w:rFonts w:hint="eastAsia" w:ascii="华文仿宋" w:hAnsi="华文仿宋" w:eastAsia="华文仿宋" w:cs="华文仿宋"/>
                <w:spacing w:val="-2"/>
                <w:kern w:val="0"/>
                <w:sz w:val="28"/>
                <w:szCs w:val="22"/>
                <w:lang w:val="en-US" w:eastAsia="zh-CN" w:bidi="ar-SA"/>
              </w:rPr>
            </w:pPr>
            <w:r>
              <w:rPr>
                <w:rFonts w:hint="eastAsia" w:ascii="华文仿宋" w:hAnsi="华文仿宋" w:eastAsia="华文仿宋" w:cs="华文仿宋"/>
                <w:spacing w:val="-2"/>
                <w:kern w:val="0"/>
                <w:sz w:val="28"/>
                <w:szCs w:val="22"/>
                <w:lang w:val="en-US" w:eastAsia="zh-CN" w:bidi="ar-SA"/>
              </w:rPr>
              <w:t>#提供 SQL 防火墙功能，支持为不同用户单独设置不同的SQL 防火墙策略，可设置指定用户连接数据库 ，并仅执行已授权的 SQL 语句，同时可检测、阻止和记录任何意外的 SQL 语句，有效降低 SQL 注入攻击、异常访问以及凭据盗窃或滥用的风险；上述功能须提供第三方检测机构（检测报告须带有CMA 或 CNAS 标志）出具的相关检测报告；</w:t>
            </w:r>
          </w:p>
        </w:tc>
      </w:tr>
    </w:tbl>
    <w:p>
      <w:pPr>
        <w:spacing w:line="560" w:lineRule="exact"/>
        <w:ind w:firstLine="166" w:firstLineChars="52"/>
        <w:rPr>
          <w:rFonts w:hint="eastAsia" w:ascii="仿宋_GB2312" w:hAnsi="仿宋_GB2312" w:eastAsia="仿宋_GB2312" w:cs="仿宋_GB2312"/>
          <w:sz w:val="32"/>
          <w:szCs w:val="32"/>
        </w:rPr>
        <w:sectPr>
          <w:pgSz w:w="11910" w:h="16840"/>
          <w:pgMar w:top="1160" w:right="1275" w:bottom="1320" w:left="1133" w:header="859" w:footer="1129" w:gutter="0"/>
          <w:cols w:space="720" w:num="1"/>
        </w:sectPr>
      </w:pPr>
    </w:p>
    <w:p>
      <w:pPr>
        <w:spacing w:line="560" w:lineRule="exact"/>
        <w:ind w:firstLine="166" w:firstLineChars="52"/>
        <w:rPr>
          <w:rFonts w:hint="eastAsia" w:ascii="仿宋_GB2312" w:hAnsi="仿宋_GB2312" w:eastAsia="仿宋_GB2312" w:cs="仿宋_GB2312"/>
          <w:sz w:val="32"/>
          <w:szCs w:val="32"/>
        </w:rPr>
      </w:pPr>
    </w:p>
    <w:tbl>
      <w:tblPr>
        <w:tblStyle w:val="10"/>
        <w:tblW w:w="8496" w:type="dxa"/>
        <w:tblInd w:w="78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1"/>
        <w:gridCol w:w="1596"/>
        <w:gridCol w:w="59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296" w:hRule="atLeast"/>
        </w:trPr>
        <w:tc>
          <w:tcPr>
            <w:tcW w:w="931"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9</w:t>
            </w:r>
          </w:p>
        </w:tc>
        <w:tc>
          <w:tcPr>
            <w:tcW w:w="1596"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安全要求</w:t>
            </w:r>
          </w:p>
        </w:tc>
        <w:tc>
          <w:tcPr>
            <w:tcW w:w="5969" w:type="dxa"/>
          </w:tcPr>
          <w:p>
            <w:pPr>
              <w:autoSpaceDE w:val="0"/>
              <w:autoSpaceDN w:val="0"/>
              <w:spacing w:after="0" w:line="560" w:lineRule="exact"/>
              <w:ind w:firstLine="143" w:firstLineChars="52"/>
              <w:rPr>
                <w:rFonts w:hint="eastAsia" w:ascii="华文仿宋" w:hAnsi="华文仿宋" w:eastAsia="华文仿宋" w:cs="华文仿宋"/>
                <w:spacing w:val="-2"/>
                <w:kern w:val="0"/>
                <w:sz w:val="28"/>
                <w:szCs w:val="22"/>
                <w:lang w:val="en-US" w:eastAsia="en-US" w:bidi="ar-SA"/>
              </w:rPr>
            </w:pPr>
            <w:r>
              <w:rPr>
                <w:rFonts w:hint="eastAsia" w:ascii="华文仿宋" w:hAnsi="华文仿宋" w:eastAsia="华文仿宋" w:cs="华文仿宋"/>
                <w:spacing w:val="-2"/>
                <w:kern w:val="0"/>
                <w:sz w:val="28"/>
                <w:szCs w:val="22"/>
                <w:lang w:val="en-US" w:eastAsia="zh-CN" w:bidi="ar-SA"/>
              </w:rPr>
              <w:t>#数据存储支持透明存储加密和手动数据加密功能，其中加密算法支持对称加密算法 RC4、 AES、DES/3DES、Blowfish、SM4；支持非对称加密算法 SM2；支持摘要算法 MD5；支持散列函数算法 SM3 多种算法，支持单机和集群场景；上述功能须提供第三方检测机构（检测报告须带有CMA 或CNAS 标志）出具的相关检</w:t>
            </w:r>
            <w:r>
              <w:rPr>
                <w:rFonts w:hint="eastAsia" w:ascii="华文仿宋" w:hAnsi="华文仿宋" w:eastAsia="华文仿宋" w:cs="华文仿宋"/>
                <w:spacing w:val="-2"/>
                <w:kern w:val="0"/>
                <w:sz w:val="28"/>
                <w:szCs w:val="22"/>
                <w:lang w:val="en-US" w:eastAsia="en-US" w:bidi="ar-SA"/>
              </w:rPr>
              <w:t>测报告；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57" w:hRule="atLeast"/>
        </w:trPr>
        <w:tc>
          <w:tcPr>
            <w:tcW w:w="931"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10</w:t>
            </w:r>
          </w:p>
        </w:tc>
        <w:tc>
          <w:tcPr>
            <w:tcW w:w="1596"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管理要求</w:t>
            </w:r>
          </w:p>
        </w:tc>
        <w:tc>
          <w:tcPr>
            <w:tcW w:w="5969" w:type="dxa"/>
          </w:tcPr>
          <w:p>
            <w:pPr>
              <w:autoSpaceDE w:val="0"/>
              <w:autoSpaceDN w:val="0"/>
              <w:spacing w:after="0" w:line="560" w:lineRule="exact"/>
              <w:ind w:firstLine="143" w:firstLineChars="52"/>
              <w:rPr>
                <w:rFonts w:hint="eastAsia" w:ascii="华文仿宋" w:hAnsi="华文仿宋" w:eastAsia="华文仿宋" w:cs="华文仿宋"/>
                <w:spacing w:val="-2"/>
                <w:kern w:val="0"/>
                <w:sz w:val="28"/>
                <w:szCs w:val="22"/>
                <w:lang w:val="en-US" w:eastAsia="zh-CN" w:bidi="ar-SA"/>
              </w:rPr>
            </w:pPr>
            <w:r>
              <w:rPr>
                <w:rFonts w:hint="eastAsia" w:ascii="华文仿宋" w:hAnsi="华文仿宋" w:eastAsia="华文仿宋" w:cs="华文仿宋"/>
                <w:spacing w:val="-2"/>
                <w:kern w:val="0"/>
                <w:sz w:val="28"/>
                <w:szCs w:val="22"/>
                <w:lang w:val="en-US" w:eastAsia="zh-CN" w:bidi="ar-SA"/>
              </w:rPr>
              <w:t>支持一键收集服务器系统和数据库配置相关信息，含CPU、操作系统、数据库版本、集群节点、授权控制相关内容，并支持收集到的信息自动以明文和二维码形式存储展示，简化产品维护时信息收集和传递复杂度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69" w:hRule="atLeast"/>
        </w:trPr>
        <w:tc>
          <w:tcPr>
            <w:tcW w:w="931"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11</w:t>
            </w:r>
          </w:p>
        </w:tc>
        <w:tc>
          <w:tcPr>
            <w:tcW w:w="1596"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p>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管理要求</w:t>
            </w:r>
          </w:p>
        </w:tc>
        <w:tc>
          <w:tcPr>
            <w:tcW w:w="5969" w:type="dxa"/>
          </w:tcPr>
          <w:p>
            <w:pPr>
              <w:autoSpaceDE w:val="0"/>
              <w:autoSpaceDN w:val="0"/>
              <w:spacing w:after="0" w:line="560" w:lineRule="exact"/>
              <w:ind w:firstLine="143" w:firstLineChars="52"/>
              <w:rPr>
                <w:rFonts w:hint="eastAsia" w:ascii="华文仿宋" w:hAnsi="华文仿宋" w:eastAsia="华文仿宋" w:cs="华文仿宋"/>
                <w:spacing w:val="-2"/>
                <w:kern w:val="0"/>
                <w:sz w:val="28"/>
                <w:szCs w:val="22"/>
                <w:lang w:val="en-US" w:eastAsia="zh-CN" w:bidi="ar-SA"/>
              </w:rPr>
            </w:pPr>
            <w:r>
              <w:rPr>
                <w:rFonts w:hint="eastAsia" w:ascii="华文仿宋" w:hAnsi="华文仿宋" w:eastAsia="华文仿宋" w:cs="华文仿宋"/>
                <w:spacing w:val="-2"/>
                <w:kern w:val="0"/>
                <w:sz w:val="28"/>
                <w:szCs w:val="22"/>
                <w:lang w:val="en-US" w:eastAsia="zh-CN" w:bidi="ar-SA"/>
              </w:rPr>
              <w:t>#数据库对象管理工具支持对计划任务的管 理，包括：支持对作业 Job、程序Program、调度程序Scchedule 类型的计划任务进行管理；支持对计划任务进行实例级别的管理，可集中管控，简化管理复杂度；支持创建程序 时，无需用户手动输入数据库名、用户名等数</w:t>
            </w:r>
          </w:p>
        </w:tc>
      </w:tr>
    </w:tbl>
    <w:p>
      <w:pPr>
        <w:spacing w:line="560" w:lineRule="exact"/>
        <w:ind w:firstLine="166" w:firstLineChars="52"/>
        <w:rPr>
          <w:rFonts w:hint="eastAsia" w:ascii="仿宋_GB2312" w:hAnsi="仿宋_GB2312" w:eastAsia="仿宋_GB2312" w:cs="仿宋_GB2312"/>
          <w:sz w:val="32"/>
          <w:szCs w:val="32"/>
        </w:rPr>
        <w:sectPr>
          <w:pgSz w:w="11910" w:h="16840"/>
          <w:pgMar w:top="1160" w:right="1275" w:bottom="1320" w:left="1133" w:header="859" w:footer="1129" w:gutter="0"/>
          <w:cols w:space="720" w:num="1"/>
        </w:sectPr>
      </w:pPr>
    </w:p>
    <w:p>
      <w:pPr>
        <w:spacing w:line="560" w:lineRule="exact"/>
        <w:ind w:firstLine="166" w:firstLineChars="52"/>
        <w:rPr>
          <w:rFonts w:hint="eastAsia" w:ascii="仿宋_GB2312" w:hAnsi="仿宋_GB2312" w:eastAsia="仿宋_GB2312" w:cs="仿宋_GB2312"/>
          <w:sz w:val="32"/>
          <w:szCs w:val="32"/>
        </w:rPr>
      </w:pPr>
    </w:p>
    <w:tbl>
      <w:tblPr>
        <w:tblStyle w:val="10"/>
        <w:tblW w:w="8496" w:type="dxa"/>
        <w:tblInd w:w="78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1"/>
        <w:gridCol w:w="1596"/>
        <w:gridCol w:w="59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94" w:hRule="atLeast"/>
        </w:trPr>
        <w:tc>
          <w:tcPr>
            <w:tcW w:w="931"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tc>
        <w:tc>
          <w:tcPr>
            <w:tcW w:w="1596"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zh-CN"/>
              </w:rPr>
            </w:pPr>
          </w:p>
        </w:tc>
        <w:tc>
          <w:tcPr>
            <w:tcW w:w="5969" w:type="dxa"/>
          </w:tcPr>
          <w:p>
            <w:pPr>
              <w:autoSpaceDE w:val="0"/>
              <w:autoSpaceDN w:val="0"/>
              <w:spacing w:after="0" w:line="560" w:lineRule="exact"/>
              <w:ind w:firstLine="143" w:firstLineChars="52"/>
              <w:rPr>
                <w:rFonts w:hint="eastAsia" w:ascii="华文仿宋" w:hAnsi="华文仿宋" w:eastAsia="华文仿宋" w:cs="华文仿宋"/>
                <w:spacing w:val="-2"/>
                <w:kern w:val="0"/>
                <w:sz w:val="28"/>
                <w:szCs w:val="22"/>
                <w:lang w:val="en-US" w:eastAsia="zh-CN" w:bidi="ar-SA"/>
              </w:rPr>
            </w:pPr>
            <w:r>
              <w:rPr>
                <w:rFonts w:hint="eastAsia" w:ascii="华文仿宋" w:hAnsi="华文仿宋" w:eastAsia="华文仿宋" w:cs="华文仿宋"/>
                <w:spacing w:val="-2"/>
                <w:kern w:val="0"/>
                <w:sz w:val="28"/>
                <w:szCs w:val="22"/>
                <w:lang w:val="en-US" w:eastAsia="zh-CN" w:bidi="ar-SA"/>
              </w:rPr>
              <w:t>据库连接信息，可自动生成本库任务；支持使用时间日期设置调度任务，支持包括时间间隔和时间表达式两种形式的时间日期设置方式；支持查看计划任务的执行情况；支持不同版本数据库的计划任务共存管理，可根据数据库版本自动判断和切换计划任务管理策略；上述功能须提供第三方检测机构（检测报告须带有CMA 或CNAS 标志）出具的相关检测报告；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23" w:hRule="atLeast"/>
        </w:trPr>
        <w:tc>
          <w:tcPr>
            <w:tcW w:w="931"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12</w:t>
            </w:r>
          </w:p>
        </w:tc>
        <w:tc>
          <w:tcPr>
            <w:tcW w:w="1596" w:type="dxa"/>
          </w:tcPr>
          <w:p>
            <w:pPr>
              <w:autoSpaceDE w:val="0"/>
              <w:autoSpaceDN w:val="0"/>
              <w:spacing w:after="0" w:line="560" w:lineRule="exact"/>
              <w:ind w:firstLine="166" w:firstLineChars="52"/>
              <w:rPr>
                <w:rFonts w:hint="eastAsia" w:ascii="仿宋_GB2312" w:hAnsi="仿宋_GB2312" w:eastAsia="仿宋_GB2312" w:cs="仿宋_GB2312"/>
                <w:sz w:val="32"/>
                <w:szCs w:val="32"/>
                <w:lang w:eastAsia="en-US"/>
              </w:rPr>
            </w:pPr>
            <w:r>
              <w:rPr>
                <w:rFonts w:ascii="仿宋_GB2312" w:hAnsi="仿宋_GB2312" w:eastAsia="仿宋_GB2312" w:cs="仿宋_GB2312"/>
                <w:sz w:val="32"/>
                <w:szCs w:val="32"/>
                <w:lang w:eastAsia="en-US"/>
              </w:rPr>
              <w:t>性能要求</w:t>
            </w:r>
          </w:p>
        </w:tc>
        <w:tc>
          <w:tcPr>
            <w:tcW w:w="5969" w:type="dxa"/>
          </w:tcPr>
          <w:p>
            <w:pPr>
              <w:autoSpaceDE w:val="0"/>
              <w:autoSpaceDN w:val="0"/>
              <w:spacing w:after="0" w:line="560" w:lineRule="exact"/>
              <w:ind w:firstLine="143" w:firstLineChars="52"/>
              <w:rPr>
                <w:rFonts w:hint="eastAsia" w:ascii="华文仿宋" w:hAnsi="华文仿宋" w:eastAsia="华文仿宋" w:cs="华文仿宋"/>
                <w:spacing w:val="-2"/>
                <w:kern w:val="0"/>
                <w:sz w:val="28"/>
                <w:szCs w:val="22"/>
                <w:lang w:val="en-US" w:eastAsia="zh-CN" w:bidi="ar-SA"/>
              </w:rPr>
            </w:pPr>
            <w:r>
              <w:rPr>
                <w:rFonts w:hint="eastAsia" w:ascii="华文仿宋" w:hAnsi="华文仿宋" w:eastAsia="华文仿宋" w:cs="华文仿宋"/>
                <w:spacing w:val="-2"/>
                <w:kern w:val="0"/>
                <w:sz w:val="28"/>
                <w:szCs w:val="22"/>
                <w:lang w:val="en-US" w:eastAsia="zh-CN" w:bidi="ar-SA"/>
              </w:rPr>
              <w:t>国产化改造后系统的性能应该高于或等于国产化改造之前的系统性能。</w:t>
            </w:r>
          </w:p>
        </w:tc>
      </w:tr>
    </w:tbl>
    <w:p>
      <w:pPr>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2.操作系统技术要求</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多架构支持，它同时兼容 X86、ARM、MIPS、 LoongArch 四大主流架构，可适配龙芯、飞腾、兆芯、海光等全部国产 CPU。</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大数量碎片文件读写性能不低于现运行的操作系统环境。</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支持主流的国产化数据库产品。</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应选用经过国家安全认证的国产操作系统，具备良好的兼容性和稳定性。</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ascii="仿宋_GB2312" w:hAnsi="仿宋_GB2312" w:eastAsia="仿宋_GB2312" w:cs="仿宋_GB2312"/>
          <w:sz w:val="32"/>
          <w:szCs w:val="32"/>
        </w:rPr>
        <w:t>支持常用的开发工具和应用软件，方便业务系统迁移和开发。</w:t>
      </w:r>
    </w:p>
    <w:p>
      <w:pPr>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★（6）产品型号属于《安全可靠测评结果公告》提供中国信息安全测评中心网页截图</w:t>
      </w:r>
      <w:r>
        <w:rPr>
          <w:rFonts w:hint="eastAsia" w:ascii="仿宋_GB2312" w:hAnsi="仿宋_GB2312" w:eastAsia="仿宋_GB2312" w:cs="仿宋_GB2312"/>
          <w:sz w:val="32"/>
          <w:szCs w:val="32"/>
          <w:lang w:eastAsia="zh-CN"/>
        </w:rPr>
        <w:t>或国家保密科技测评中心官网截图作为佐证</w:t>
      </w:r>
      <w:r>
        <w:rPr>
          <w:rFonts w:ascii="仿宋_GB2312" w:hAnsi="仿宋_GB2312" w:eastAsia="仿宋_GB2312" w:cs="仿宋_GB2312"/>
          <w:sz w:val="32"/>
          <w:szCs w:val="32"/>
        </w:rPr>
        <w:t>，并加盖</w:t>
      </w:r>
      <w:r>
        <w:rPr>
          <w:rFonts w:hint="eastAsia" w:ascii="仿宋_GB2312" w:hAnsi="仿宋_GB2312" w:eastAsia="仿宋_GB2312" w:cs="仿宋_GB2312"/>
          <w:sz w:val="32"/>
          <w:szCs w:val="32"/>
        </w:rPr>
        <w:t>比选</w:t>
      </w:r>
      <w:r>
        <w:rPr>
          <w:rFonts w:ascii="仿宋_GB2312" w:hAnsi="仿宋_GB2312" w:eastAsia="仿宋_GB2312" w:cs="仿宋_GB2312"/>
          <w:sz w:val="32"/>
          <w:szCs w:val="32"/>
        </w:rPr>
        <w:t>人公章。</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3.系统改造项目需求</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（1）系统采用 BS 构架，后台可以使用360 浏览器、谷歌浏览器、EDGE 浏览器、现有国产化电脑浏览器等进行访问。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（2）原采用JAVA 语言开发，使用 Mysql 数据库，使用 tomcat 为java 中间件，nginx 为web 中间件。本次改造需要对系统前后台进行数据库适配，测试适配后的功能和性能能够满足系统要求。</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（3）系统部署于西城区政务云，原系统定义为等保二级系统改造后应部署在国产云。</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（4）系统完成能力提升改造后仍然定义为等保二级系统，中标供应商负责相关测评费用。系统的性能需要与原系统保持一致。本系统支持 30 用户并发提交，平均响应时间为 1.5 秒；系统具备 7*24 小时连续运行能力，年度系统稳定性大于 99%，系统可用性大于 99%。</w:t>
      </w:r>
    </w:p>
    <w:p>
      <w:pPr>
        <w:pStyle w:val="2"/>
        <w:rPr>
          <w:rFonts w:hint="eastAsia" w:eastAsia="仿宋_GB2312"/>
          <w:lang w:eastAsia="zh-CN"/>
        </w:rPr>
      </w:pPr>
      <w:r>
        <w:rPr>
          <w:rFonts w:hint="eastAsia" w:eastAsia="仿宋_GB2312" w:cs="仿宋_GB2312"/>
          <w:sz w:val="32"/>
          <w:szCs w:val="32"/>
          <w:lang w:eastAsia="zh-CN"/>
        </w:rPr>
        <w:t>系统现有栏目列表：</w:t>
      </w:r>
    </w:p>
    <w:tbl>
      <w:tblPr>
        <w:tblStyle w:val="6"/>
        <w:tblW w:w="8160" w:type="dxa"/>
        <w:tblInd w:w="113" w:type="dxa"/>
        <w:tblLayout w:type="fixed"/>
        <w:tblCellMar>
          <w:top w:w="0" w:type="dxa"/>
          <w:left w:w="108" w:type="dxa"/>
          <w:bottom w:w="0" w:type="dxa"/>
          <w:right w:w="108" w:type="dxa"/>
        </w:tblCellMar>
      </w:tblPr>
      <w:tblGrid>
        <w:gridCol w:w="820"/>
        <w:gridCol w:w="560"/>
        <w:gridCol w:w="880"/>
        <w:gridCol w:w="880"/>
        <w:gridCol w:w="2320"/>
        <w:gridCol w:w="2700"/>
      </w:tblGrid>
      <w:tr>
        <w:tblPrEx>
          <w:tblLayout w:type="fixed"/>
          <w:tblCellMar>
            <w:top w:w="0" w:type="dxa"/>
            <w:left w:w="108" w:type="dxa"/>
            <w:bottom w:w="0" w:type="dxa"/>
            <w:right w:w="108" w:type="dxa"/>
          </w:tblCellMar>
        </w:tblPrEx>
        <w:trPr>
          <w:trHeight w:val="630" w:hRule="atLeast"/>
        </w:trPr>
        <w:tc>
          <w:tcPr>
            <w:tcW w:w="820" w:type="dxa"/>
            <w:tcBorders>
              <w:top w:val="single" w:color="auto" w:sz="4" w:space="0"/>
              <w:left w:val="single" w:color="auto" w:sz="4" w:space="0"/>
              <w:bottom w:val="single" w:color="auto" w:sz="4" w:space="0"/>
              <w:right w:val="single" w:color="auto" w:sz="4" w:space="0"/>
            </w:tcBorders>
            <w:shd w:val="clear" w:color="000000" w:fill="FFFFFF"/>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560" w:type="dxa"/>
            <w:tcBorders>
              <w:top w:val="single" w:color="auto" w:sz="4" w:space="0"/>
              <w:left w:val="nil"/>
              <w:bottom w:val="single" w:color="auto" w:sz="4" w:space="0"/>
              <w:right w:val="single" w:color="auto" w:sz="4" w:space="0"/>
            </w:tcBorders>
            <w:shd w:val="clear" w:color="000000" w:fill="FFFFFF"/>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类别</w:t>
            </w:r>
          </w:p>
        </w:tc>
        <w:tc>
          <w:tcPr>
            <w:tcW w:w="880" w:type="dxa"/>
            <w:tcBorders>
              <w:top w:val="single" w:color="auto" w:sz="4" w:space="0"/>
              <w:left w:val="nil"/>
              <w:bottom w:val="single" w:color="auto" w:sz="4" w:space="0"/>
              <w:right w:val="single" w:color="auto" w:sz="4" w:space="0"/>
            </w:tcBorders>
            <w:shd w:val="clear" w:color="000000" w:fill="FFFFFF"/>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类别序号</w:t>
            </w:r>
          </w:p>
        </w:tc>
        <w:tc>
          <w:tcPr>
            <w:tcW w:w="880" w:type="dxa"/>
            <w:tcBorders>
              <w:top w:val="single" w:color="auto" w:sz="4" w:space="0"/>
              <w:left w:val="nil"/>
              <w:bottom w:val="single" w:color="auto" w:sz="4" w:space="0"/>
              <w:right w:val="single" w:color="auto" w:sz="4" w:space="0"/>
            </w:tcBorders>
            <w:shd w:val="clear" w:color="000000" w:fill="FFFFFF"/>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020" w:type="dxa"/>
            <w:gridSpan w:val="2"/>
            <w:tcBorders>
              <w:top w:val="single" w:color="auto" w:sz="4" w:space="0"/>
              <w:left w:val="nil"/>
              <w:bottom w:val="single" w:color="auto" w:sz="4" w:space="0"/>
              <w:right w:val="single" w:color="auto" w:sz="4" w:space="0"/>
            </w:tcBorders>
            <w:shd w:val="clear" w:color="000000" w:fill="FFFFFF"/>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名称</w:t>
            </w:r>
          </w:p>
        </w:tc>
      </w:tr>
      <w:tr>
        <w:tblPrEx>
          <w:tblLayout w:type="fixed"/>
          <w:tblCellMar>
            <w:top w:w="0" w:type="dxa"/>
            <w:left w:w="108" w:type="dxa"/>
            <w:bottom w:w="0" w:type="dxa"/>
            <w:right w:w="108" w:type="dxa"/>
          </w:tblCellMar>
        </w:tblPrEx>
        <w:trPr>
          <w:trHeight w:val="285" w:hRule="atLeast"/>
        </w:trPr>
        <w:tc>
          <w:tcPr>
            <w:tcW w:w="820" w:type="dxa"/>
            <w:tcBorders>
              <w:top w:val="nil"/>
              <w:left w:val="single" w:color="auto" w:sz="4" w:space="0"/>
              <w:bottom w:val="single" w:color="auto" w:sz="4" w:space="0"/>
              <w:right w:val="single" w:color="auto" w:sz="4" w:space="0"/>
            </w:tcBorders>
            <w:shd w:val="clear" w:color="000000" w:fill="FFFFFF"/>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restart"/>
            <w:tcBorders>
              <w:top w:val="nil"/>
              <w:left w:val="single" w:color="auto" w:sz="4" w:space="0"/>
              <w:bottom w:val="single" w:color="auto" w:sz="4" w:space="0"/>
              <w:right w:val="single" w:color="auto" w:sz="4" w:space="0"/>
            </w:tcBorders>
            <w:shd w:val="clear" w:color="000000" w:fill="FFFFFF"/>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软件开发</w:t>
            </w:r>
          </w:p>
        </w:tc>
        <w:tc>
          <w:tcPr>
            <w:tcW w:w="1760"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门户网站</w:t>
            </w: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信息发布</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通知通告</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机构简介</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新闻中心</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行业动态</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政策法规</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交易指南</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资料及软件下载</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规章制度</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招标信息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中标公告</w:t>
            </w:r>
          </w:p>
        </w:tc>
      </w:tr>
      <w:tr>
        <w:tblPrEx>
          <w:tblLayout w:type="fixed"/>
          <w:tblCellMar>
            <w:top w:w="0" w:type="dxa"/>
            <w:left w:w="108" w:type="dxa"/>
            <w:bottom w:w="0" w:type="dxa"/>
            <w:right w:w="108" w:type="dxa"/>
          </w:tblCellMar>
        </w:tblPrEx>
        <w:trPr>
          <w:trHeight w:val="30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商品行情信息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交易信息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中介机构信息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比选人信息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会员注册</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会员登录</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会员信息维护</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个人信息设置</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企业资质、业绩等信息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信息查询</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固定条件查询</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自定义查询</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模糊查询</w:t>
            </w:r>
          </w:p>
        </w:tc>
      </w:tr>
      <w:tr>
        <w:tblPrEx>
          <w:tblLayout w:type="fixed"/>
          <w:tblCellMar>
            <w:top w:w="0" w:type="dxa"/>
            <w:left w:w="108" w:type="dxa"/>
            <w:bottom w:w="0" w:type="dxa"/>
            <w:right w:w="108" w:type="dxa"/>
          </w:tblCellMar>
        </w:tblPrEx>
        <w:trPr>
          <w:trHeight w:val="45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个人中心</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个性化设置、咨询、交易查询、在线申报、时间预约</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用户管理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权限管理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系统管理</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系统日志管理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数据库备份恢复</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17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系统参数配置</w:t>
            </w:r>
          </w:p>
        </w:tc>
      </w:tr>
      <w:tr>
        <w:tblPrEx>
          <w:tblLayout w:type="fixed"/>
          <w:tblCellMar>
            <w:top w:w="0" w:type="dxa"/>
            <w:left w:w="108" w:type="dxa"/>
            <w:bottom w:w="0" w:type="dxa"/>
            <w:right w:w="108" w:type="dxa"/>
          </w:tblCellMar>
        </w:tblPrEx>
        <w:trPr>
          <w:trHeight w:val="28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公共资源交易系统</w:t>
            </w:r>
          </w:p>
        </w:tc>
        <w:tc>
          <w:tcPr>
            <w:tcW w:w="88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场地管理</w:t>
            </w:r>
          </w:p>
        </w:tc>
        <w:tc>
          <w:tcPr>
            <w:tcW w:w="232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基础信息管理</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区域管理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场地基础信息管理</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设备管理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开、评标室管理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人员管理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业务终端管理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通行管理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信息发布控制</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总览导览</w:t>
            </w:r>
          </w:p>
        </w:tc>
      </w:tr>
      <w:tr>
        <w:tblPrEx>
          <w:tblLayout w:type="fixed"/>
          <w:tblCellMar>
            <w:top w:w="0" w:type="dxa"/>
            <w:left w:w="108" w:type="dxa"/>
            <w:bottom w:w="0" w:type="dxa"/>
            <w:right w:w="108" w:type="dxa"/>
          </w:tblCellMar>
        </w:tblPrEx>
        <w:trPr>
          <w:trHeight w:val="285"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业务调度</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项目日程管理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场地预约</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专家管理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开评标调度</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询标答疑调度</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见证监督</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音视频资料管理（见证监督）</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业务流程</w:t>
            </w: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采购单位管理</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采购计划管理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采购机构选择</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采购合同管理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采购计划管理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采购项目管理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资格预审公告管理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资格预审文件管理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招标代理机构管理</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招标公告管理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招标文件管理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专家抽取</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开标管理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评审结果记录</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中（废）标公告管理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项目流程数据管理</w:t>
            </w:r>
          </w:p>
        </w:tc>
      </w:tr>
      <w:tr>
        <w:tblPrEx>
          <w:tblLayout w:type="fixed"/>
          <w:tblCellMar>
            <w:top w:w="0" w:type="dxa"/>
            <w:left w:w="108" w:type="dxa"/>
            <w:bottom w:w="0" w:type="dxa"/>
            <w:right w:w="108" w:type="dxa"/>
          </w:tblCellMar>
        </w:tblPrEx>
        <w:trPr>
          <w:trHeight w:val="30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供应商管理</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网上报名</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招标文件下载</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递交比选文件</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履约评价</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保证金退还查询</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评审专家管理</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专家身份验证</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专家签到管理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专家费用登记</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资格性审查</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符合性审查</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价格评分管理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技术部分评分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评分结果汇总</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评审报告</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专家电子签名</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交易中心管理</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立项项目审核</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资格预审、比选公告审核</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中标（废标）公告审核</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采购合同备案审核</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采购项目档案管理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平台管理</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开评标过程监督</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信息发布管理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用户管理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权限管理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数据维护</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日志管理</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报表自动生成</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数据接口</w:t>
            </w: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上传监管信息</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行政监管事项</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投诉</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项目报警信息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上传交易信息</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采购公告</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更正公告</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中标结果公告</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上传信用信息</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撤销黑名单</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黑名单信息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奖励信息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履约信息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社会信用信息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违法违规信息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上传主体信息</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法人基本信息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采购人扩展信息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供应商扩展信息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代理机构扩展信息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上传专家</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评标专家信息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评审专家信息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专家信用记录</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视频服务接口</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开评标直播接口</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历史开评标视频点播</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5020" w:type="dxa"/>
            <w:gridSpan w:val="2"/>
            <w:tcBorders>
              <w:top w:val="single" w:color="auto" w:sz="4" w:space="0"/>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统一赋码接口</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用户信息共享</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上传用户身份数字信息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验证用户数字证书</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获取CA用户信息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专家抽取</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专家抽取预约</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专家抽取结果</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抽取项目附件上传</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撤销专家抽取预约</w:t>
            </w:r>
          </w:p>
        </w:tc>
      </w:tr>
      <w:tr>
        <w:tblPrEx>
          <w:tblLayout w:type="fixed"/>
          <w:tblCellMar>
            <w:top w:w="0" w:type="dxa"/>
            <w:left w:w="108" w:type="dxa"/>
            <w:bottom w:w="0" w:type="dxa"/>
            <w:right w:w="108" w:type="dxa"/>
          </w:tblCellMar>
        </w:tblPrEx>
        <w:trPr>
          <w:trHeight w:val="45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获取评标专家抽取预约的抽取状态</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场地信息管理</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进场信息同步</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查询可预约评标室数量</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标室查询</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提交预约</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变更预约</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变更场地</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查询预约</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接收传入的专家名单</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专家及比选人推送</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反馈签到信息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接收传入的比选人信息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视频直播与点播</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获取直播视频信息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推送点播视频信息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申请授信</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restart"/>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保函接口</w:t>
            </w: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查询授信申请结果</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查询授信</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申请保函</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查询保函申请结果</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解密保函加密信息</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申请保函延期</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查询保函延期审核结果</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保函索赔</w:t>
            </w:r>
          </w:p>
        </w:tc>
      </w:tr>
      <w:tr>
        <w:tblPrEx>
          <w:tblLayout w:type="fixed"/>
          <w:tblCellMar>
            <w:top w:w="0" w:type="dxa"/>
            <w:left w:w="108" w:type="dxa"/>
            <w:bottom w:w="0" w:type="dxa"/>
            <w:right w:w="108" w:type="dxa"/>
          </w:tblCellMar>
        </w:tblPrEx>
        <w:trPr>
          <w:trHeight w:val="24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tc>
        <w:tc>
          <w:tcPr>
            <w:tcW w:w="56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88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320" w:type="dxa"/>
            <w:vMerge w:val="continue"/>
            <w:tcBorders>
              <w:top w:val="nil"/>
              <w:left w:val="single" w:color="auto" w:sz="4" w:space="0"/>
              <w:bottom w:val="single" w:color="auto" w:sz="4" w:space="0"/>
              <w:right w:val="single" w:color="auto" w:sz="4" w:space="0"/>
            </w:tcBorders>
            <w:vAlign w:val="center"/>
          </w:tcPr>
          <w:p>
            <w:pPr>
              <w:spacing w:line="560" w:lineRule="exact"/>
              <w:rPr>
                <w:rFonts w:hint="eastAsia" w:ascii="仿宋_GB2312" w:hAnsi="仿宋_GB2312" w:eastAsia="仿宋_GB2312" w:cs="仿宋_GB2312"/>
                <w:sz w:val="32"/>
                <w:szCs w:val="32"/>
              </w:rPr>
            </w:pPr>
          </w:p>
        </w:tc>
        <w:tc>
          <w:tcPr>
            <w:tcW w:w="2700" w:type="dxa"/>
            <w:tcBorders>
              <w:top w:val="nil"/>
              <w:left w:val="nil"/>
              <w:bottom w:val="single" w:color="auto" w:sz="4" w:space="0"/>
              <w:right w:val="single" w:color="auto" w:sz="4" w:space="0"/>
            </w:tcBorders>
            <w:shd w:val="clear" w:color="auto" w:fill="auto"/>
            <w:vAlign w:val="center"/>
          </w:tcPr>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查询保函索赔申请结果</w:t>
            </w:r>
          </w:p>
        </w:tc>
      </w:tr>
    </w:tbl>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 xml:space="preserve"> 浏览器兼容性需求</w:t>
      </w:r>
    </w:p>
    <w:p>
      <w:pPr>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目前桌面系统全面转向麒麟桌面浏览器和统信桌面浏览器，需要应用程序全面兼容麒麟和统信系统自带的浏览器；360 浏览器提供有Linux 版本，应用系统也需要兼容 360 浏览器；能力提升改造后的应用程序要同时兼容谷歌和 Edge 等常用浏览器</w:t>
      </w:r>
      <w:r>
        <w:rPr>
          <w:rFonts w:hint="eastAsia" w:ascii="仿宋_GB2312" w:hAnsi="仿宋_GB2312" w:eastAsia="仿宋_GB2312" w:cs="仿宋_GB2312"/>
          <w:sz w:val="32"/>
          <w:szCs w:val="32"/>
          <w:lang w:eastAsia="zh-CN"/>
        </w:rPr>
        <w:t>架构</w:t>
      </w:r>
      <w:r>
        <w:rPr>
          <w:rFonts w:ascii="仿宋_GB2312" w:hAnsi="仿宋_GB2312" w:eastAsia="仿宋_GB2312" w:cs="仿宋_GB2312"/>
          <w:sz w:val="32"/>
          <w:szCs w:val="32"/>
        </w:rPr>
        <w:t>。</w:t>
      </w:r>
    </w:p>
    <w:p>
      <w:pPr>
        <w:ind w:firstLine="707" w:firstLineChars="22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5.人员要求</w:t>
      </w:r>
    </w:p>
    <w:p>
      <w:pPr>
        <w:pStyle w:val="3"/>
        <w:ind w:firstLine="707" w:firstLineChars="221"/>
        <w:rPr>
          <w:rFonts w:hint="eastAsia" w:ascii="仿宋_GB2312" w:hAnsi="仿宋_GB2312" w:eastAsia="仿宋_GB2312" w:cs="仿宋_GB2312"/>
        </w:rPr>
      </w:pPr>
      <w:r>
        <w:rPr>
          <w:rFonts w:hint="eastAsia" w:ascii="仿宋_GB2312" w:hAnsi="仿宋_GB2312" w:eastAsia="仿宋_GB2312" w:cs="仿宋_GB2312"/>
        </w:rPr>
        <w:t>比选人需组建专业项目团队，至少包含项目经理 1 名、</w:t>
      </w:r>
    </w:p>
    <w:p>
      <w:pPr>
        <w:pStyle w:val="3"/>
        <w:rPr>
          <w:rFonts w:hint="eastAsia" w:ascii="仿宋_GB2312" w:hAnsi="仿宋_GB2312" w:eastAsia="仿宋_GB2312" w:cs="仿宋_GB2312"/>
          <w:lang w:eastAsia="zh-CN"/>
        </w:rPr>
      </w:pPr>
      <w:r>
        <w:rPr>
          <w:rFonts w:hint="eastAsia" w:ascii="仿宋_GB2312" w:hAnsi="仿宋_GB2312" w:eastAsia="仿宋_GB2312" w:cs="仿宋_GB2312"/>
        </w:rPr>
        <w:t>技术总工 1 名、系统开发工程师 3 名、测试工程师 1 名</w:t>
      </w:r>
      <w:r>
        <w:rPr>
          <w:rFonts w:hint="eastAsia" w:ascii="仿宋_GB2312" w:hAnsi="仿宋_GB2312" w:eastAsia="仿宋_GB2312" w:cs="仿宋_GB2312"/>
          <w:lang w:eastAsia="zh-CN"/>
        </w:rPr>
        <w:t>，</w:t>
      </w:r>
      <w:r>
        <w:rPr>
          <w:rFonts w:hint="eastAsia" w:ascii="仿宋_GB2312" w:hAnsi="仿宋_GB2312" w:eastAsia="仿宋_GB2312" w:cs="仿宋_GB2312"/>
          <w:shd w:val="clear" w:color="auto" w:fill="auto"/>
        </w:rPr>
        <w:t>核心成员</w:t>
      </w:r>
      <w:r>
        <w:rPr>
          <w:rFonts w:hint="eastAsia" w:ascii="仿宋_GB2312" w:hAnsi="仿宋_GB2312" w:eastAsia="仿宋_GB2312" w:cs="仿宋_GB2312"/>
        </w:rPr>
        <w:t>需具备同类项目实施经验</w:t>
      </w:r>
      <w:r>
        <w:rPr>
          <w:rFonts w:hint="eastAsia" w:ascii="仿宋_GB2312" w:hAnsi="仿宋_GB2312" w:eastAsia="仿宋_GB2312" w:cs="仿宋_GB2312"/>
          <w:lang w:eastAsia="zh-CN"/>
        </w:rPr>
        <w:t>。</w:t>
      </w:r>
    </w:p>
    <w:p>
      <w:pPr>
        <w:spacing w:line="560" w:lineRule="exact"/>
        <w:ind w:firstLine="640" w:firstLineChars="200"/>
        <w:rPr>
          <w:rFonts w:ascii="黑体" w:hAnsi="Calibri" w:eastAsia="黑体"/>
          <w:bCs/>
          <w:sz w:val="32"/>
          <w:szCs w:val="32"/>
        </w:rPr>
      </w:pPr>
      <w:r>
        <w:rPr>
          <w:rFonts w:hint="eastAsia" w:ascii="黑体" w:hAnsi="Calibri" w:eastAsia="黑体"/>
          <w:bCs/>
          <w:sz w:val="32"/>
          <w:szCs w:val="32"/>
        </w:rPr>
        <w:t>二、资格要求</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1.满足《中华人民共和国政府采购法》第二十二条规定。</w:t>
      </w:r>
    </w:p>
    <w:p>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2.应具有良好的商业信誉</w:t>
      </w:r>
      <w:r>
        <w:rPr>
          <w:rFonts w:hint="eastAsia" w:ascii="仿宋_GB2312" w:hAnsi="仿宋_GB2312" w:eastAsia="仿宋_GB2312" w:cs="仿宋_GB2312"/>
          <w:kern w:val="0"/>
          <w:sz w:val="32"/>
          <w:szCs w:val="32"/>
          <w:shd w:val="clear" w:color="auto" w:fill="FFFFFF"/>
          <w:lang w:bidi="ar"/>
        </w:rPr>
        <w:t>和健全的财务会计制度</w:t>
      </w:r>
      <w:r>
        <w:rPr>
          <w:rFonts w:hint="eastAsia" w:ascii="仿宋_GB2312" w:hAnsi="仿宋_GB2312" w:eastAsia="仿宋_GB2312" w:cs="仿宋_GB2312"/>
          <w:sz w:val="32"/>
          <w:szCs w:val="32"/>
        </w:rPr>
        <w:t>，在“信用中国”（www.creditchina.gov.cn）中无不良记录，如未被列为失信被执行人等；</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3.法定代表人为同一人或者存在直接控股关系的不同供应商，不得参加同一项目的比选。</w:t>
      </w:r>
    </w:p>
    <w:p>
      <w:pPr>
        <w:spacing w:line="560" w:lineRule="exact"/>
        <w:ind w:firstLine="640" w:firstLineChars="200"/>
        <w:rPr>
          <w:rFonts w:ascii="黑体" w:hAnsi="Calibri" w:eastAsia="黑体"/>
          <w:bCs/>
          <w:sz w:val="32"/>
          <w:szCs w:val="32"/>
        </w:rPr>
      </w:pPr>
      <w:r>
        <w:rPr>
          <w:rFonts w:hint="eastAsia" w:ascii="黑体" w:hAnsi="Calibri" w:eastAsia="黑体"/>
          <w:bCs/>
          <w:sz w:val="32"/>
          <w:szCs w:val="32"/>
        </w:rPr>
        <w:t>三、材料清单</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1.企业营业执照复印件（或事业单位法人证书）；</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2.法定代表人身份证复印件；</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3.如法定代表人不参加本次比选活动，应提供法定代表人授权委托书和被授权人身份证复印件，并注明委托日期；</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4.企业基本情况介绍等，如具有相关项目经验，请提供；</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5.拟参加本项目人员简历，如具备相关工作经验和具体需求中列出的证书，请提供；</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.本项目设计方案、报价单；</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.近一个月内“信用中国”公共信用信息报告；</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.近三年内无履约纠纷、无不良记录承诺书；</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.供应商资格声明书；</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.项目联系人及联系方式。</w:t>
      </w:r>
      <w:bookmarkStart w:id="7" w:name="_GoBack"/>
      <w:bookmarkEnd w:id="7"/>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*以上文件均应加盖公章，按顺序装订成册，并在封面加盖公章。</w:t>
      </w:r>
    </w:p>
    <w:p>
      <w:pPr>
        <w:pStyle w:val="3"/>
        <w:spacing w:line="560" w:lineRule="exact"/>
        <w:rPr>
          <w:rFonts w:hint="eastAsia" w:ascii="仿宋_GB2312" w:hAnsi="仿宋_GB2312" w:eastAsia="仿宋_GB2312" w:cs="仿宋_GB2312"/>
        </w:rPr>
      </w:pPr>
    </w:p>
    <w:p>
      <w:pPr>
        <w:widowControl/>
        <w:spacing w:line="560" w:lineRule="exact"/>
        <w:ind w:firstLine="640" w:firstLineChars="200"/>
        <w:jc w:val="left"/>
        <w:rPr>
          <w:rFonts w:ascii="黑体" w:hAnsi="Calibri" w:eastAsia="黑体"/>
          <w:bCs/>
          <w:sz w:val="32"/>
          <w:szCs w:val="32"/>
        </w:rPr>
      </w:pPr>
      <w:r>
        <w:rPr>
          <w:rFonts w:hint="eastAsia" w:ascii="黑体" w:hAnsi="Calibri" w:eastAsia="黑体"/>
          <w:bCs/>
          <w:sz w:val="32"/>
          <w:szCs w:val="32"/>
        </w:rPr>
        <w:t>四、申报时间及注意事项</w:t>
      </w:r>
    </w:p>
    <w:p>
      <w:pPr>
        <w:widowControl/>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1.比选文件申报方式</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纸质版文件（一份原件、五份复印件）和电子版文件（由纸质版原件扫描制成PDF格式，刻录光盘），密封后邮寄至：北京市西城区公共资源交易中心（北京市西城区西直门内大街275号613室，联系电话：82141216），不接受现场报送。</w:t>
      </w:r>
    </w:p>
    <w:p>
      <w:pPr>
        <w:widowControl/>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所有申报文件均不予退还。</w:t>
      </w:r>
    </w:p>
    <w:p>
      <w:pPr>
        <w:widowControl/>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2.申报时间</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自2026年10月1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日12时至2026年10月2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日12时止，接收时间以纸质版文件的快递签收时间为准，逾期送达比选文件或送达的比选文件不符合本公告规定要求的概不接受。</w:t>
      </w:r>
    </w:p>
    <w:p>
      <w:pPr>
        <w:widowControl/>
        <w:spacing w:line="560" w:lineRule="exact"/>
        <w:ind w:firstLine="640" w:firstLineChars="200"/>
        <w:jc w:val="left"/>
        <w:rPr>
          <w:rFonts w:ascii="黑体" w:hAnsi="Calibri" w:eastAsia="黑体"/>
          <w:bCs/>
          <w:sz w:val="32"/>
          <w:szCs w:val="32"/>
        </w:rPr>
      </w:pPr>
      <w:r>
        <w:rPr>
          <w:rFonts w:hint="eastAsia" w:ascii="黑体" w:hAnsi="Calibri" w:eastAsia="黑体"/>
          <w:bCs/>
          <w:sz w:val="32"/>
          <w:szCs w:val="32"/>
        </w:rPr>
        <w:t>五、比选时间</w:t>
      </w:r>
    </w:p>
    <w:p>
      <w:pPr>
        <w:spacing w:line="560" w:lineRule="exact"/>
        <w:ind w:firstLine="640" w:firstLineChars="200"/>
      </w:pPr>
      <w:r>
        <w:rPr>
          <w:rFonts w:hint="eastAsia" w:ascii="仿宋_GB2312" w:hAnsi="仿宋_GB2312" w:eastAsia="仿宋_GB2312" w:cs="仿宋_GB2312"/>
          <w:sz w:val="32"/>
          <w:szCs w:val="32"/>
        </w:rPr>
        <w:t>我委将视情况组织符合条件的申报人开展比选工作，比选完成后，将在7个工作日内以电联方式将比选结果通知参加比选的供应商。</w:t>
      </w:r>
      <w:r>
        <w:rPr>
          <w:rFonts w:hint="eastAsia" w:ascii="仿宋_GB2312" w:eastAsia="仿宋_GB2312"/>
          <w:sz w:val="32"/>
          <w:szCs w:val="32"/>
        </w:rPr>
        <w:t>未尽事宜解释权归北京市西城区发展和改革委员会所有。</w:t>
      </w:r>
    </w:p>
    <w:p>
      <w:pPr>
        <w:widowControl/>
        <w:spacing w:line="560" w:lineRule="exact"/>
        <w:ind w:firstLine="640" w:firstLineChars="200"/>
        <w:jc w:val="left"/>
        <w:rPr>
          <w:rFonts w:ascii="黑体" w:hAnsi="Calibri" w:eastAsia="黑体"/>
          <w:bCs/>
          <w:sz w:val="32"/>
          <w:szCs w:val="32"/>
        </w:rPr>
      </w:pPr>
      <w:r>
        <w:rPr>
          <w:rFonts w:hint="eastAsia" w:ascii="黑体" w:hAnsi="Calibri" w:eastAsia="黑体"/>
          <w:bCs/>
          <w:sz w:val="32"/>
          <w:szCs w:val="32"/>
        </w:rPr>
        <w:t>六、联系方式</w:t>
      </w:r>
    </w:p>
    <w:p>
      <w:pPr>
        <w:pStyle w:val="3"/>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联系人：陆老师</w:t>
      </w:r>
    </w:p>
    <w:p>
      <w:pPr>
        <w:pStyle w:val="3"/>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联系电话：82141216</w:t>
      </w:r>
    </w:p>
    <w:p>
      <w:pPr>
        <w:pStyle w:val="3"/>
        <w:spacing w:line="560" w:lineRule="exact"/>
        <w:ind w:firstLine="640" w:firstLineChars="200"/>
        <w:rPr>
          <w:rFonts w:hint="eastAsia" w:ascii="仿宋_GB2312" w:hAnsi="仿宋_GB2312" w:eastAsia="仿宋_GB2312" w:cs="仿宋_GB2312"/>
        </w:rPr>
      </w:pPr>
      <w:r>
        <w:rPr>
          <w:rFonts w:hint="eastAsia" w:ascii="仿宋_GB2312" w:hAnsi="仿宋_GB2312" w:eastAsia="仿宋_GB2312" w:cs="仿宋_GB2312"/>
        </w:rPr>
        <w:t>地址：西城区西直门内大街275号613室</w:t>
      </w:r>
    </w:p>
    <w:p>
      <w:pPr>
        <w:pStyle w:val="3"/>
        <w:spacing w:line="560" w:lineRule="exact"/>
        <w:ind w:firstLine="640" w:firstLineChars="200"/>
        <w:jc w:val="right"/>
        <w:rPr>
          <w:rFonts w:hint="eastAsia" w:ascii="仿宋_GB2312" w:hAnsi="仿宋_GB2312" w:eastAsia="仿宋_GB2312" w:cs="仿宋_GB2312"/>
        </w:rPr>
      </w:pPr>
    </w:p>
    <w:p>
      <w:pPr>
        <w:pStyle w:val="3"/>
        <w:spacing w:line="560" w:lineRule="exact"/>
        <w:ind w:firstLine="640" w:firstLineChars="200"/>
        <w:jc w:val="right"/>
        <w:rPr>
          <w:rFonts w:hint="eastAsia" w:ascii="仿宋_GB2312" w:hAnsi="仿宋_GB2312" w:eastAsia="仿宋_GB2312" w:cs="仿宋_GB2312"/>
        </w:rPr>
      </w:pPr>
      <w:r>
        <w:rPr>
          <w:rFonts w:hint="eastAsia" w:ascii="仿宋_GB2312" w:hAnsi="仿宋_GB2312" w:eastAsia="仿宋_GB2312" w:cs="仿宋_GB2312"/>
        </w:rPr>
        <w:t>北京市西城区发展和改革委员会</w:t>
      </w:r>
    </w:p>
    <w:p>
      <w:pPr>
        <w:jc w:val="center"/>
      </w:pPr>
      <w:r>
        <w:rPr>
          <w:rFonts w:hint="eastAsia" w:ascii="仿宋_GB2312" w:hAnsi="仿宋_GB2312" w:eastAsia="仿宋_GB2312" w:cs="仿宋_GB2312"/>
          <w:sz w:val="32"/>
          <w:szCs w:val="32"/>
        </w:rPr>
        <w:t xml:space="preserve">                          2026年10月</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日</w:t>
      </w:r>
    </w:p>
    <w:p>
      <w:pPr>
        <w:pStyle w:val="3"/>
        <w:spacing w:line="560" w:lineRule="exact"/>
        <w:ind w:firstLine="640" w:firstLineChars="200"/>
        <w:rPr>
          <w:rFonts w:hint="eastAsia" w:ascii="仿宋_GB2312" w:hAnsi="仿宋_GB2312" w:eastAsia="仿宋_GB2312" w:cs="仿宋_GB2312"/>
        </w:rPr>
      </w:pP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1.《供应商资格声明书》</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2.《西城区公共资源交易系统信息化能力提升项目评分标准》</w:t>
      </w:r>
    </w:p>
    <w:p>
      <w:pPr>
        <w:widowControl/>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spacing w:line="560" w:lineRule="exact"/>
        <w:rPr>
          <w:rFonts w:hint="eastAsia" w:ascii="仿宋_GB2312" w:hAnsi="仿宋_GB2312" w:eastAsia="仿宋_GB2312" w:cs="仿宋_GB2312"/>
          <w:sz w:val="32"/>
          <w:szCs w:val="32"/>
        </w:rPr>
      </w:pPr>
      <w:r>
        <w:rPr>
          <w:rFonts w:hint="eastAsia" w:ascii="黑体" w:hAnsi="黑体" w:eastAsia="黑体" w:cs="黑体"/>
          <w:sz w:val="32"/>
          <w:szCs w:val="32"/>
        </w:rPr>
        <w:t>附件1：</w:t>
      </w: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供应商资格声明书</w:t>
      </w:r>
    </w:p>
    <w:p>
      <w:pPr>
        <w:spacing w:line="560" w:lineRule="exact"/>
        <w:rPr>
          <w:rFonts w:hint="eastAsia" w:ascii="仿宋_GB2312" w:hAnsi="仿宋_GB2312" w:eastAsia="仿宋_GB2312" w:cs="仿宋_GB2312"/>
        </w:rPr>
      </w:pPr>
    </w:p>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致：北京市西城区发展和改革委员会</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在参与本次项目磋商中，我单位承诺：</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（一）具有良好的商业信誉和健全的财务会计制度；</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（二）具有履行合同所必需的设备和专业技术能力；</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（三）有依法缴纳税收和社会保障资金的良好记录；</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（五）我单位不属于政府采购法律、行政法规规定的公益一类事业单位、或使用事业编制且由财政拨款保障的群团组织（仅适用于政府购买服务项目）；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（六）我单位不存在为比选项目提供整体设计、规范编制或者项目管理、监理、检测等服务后，再参加该项目的其他采购活动的情形；</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（七）与我单位存在“单位负责人为同一人或者存在直接控股、管理关系”的其他法人单位信息如下（如有，不论其是否参加同一项目比选活动均须填写）：</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序号</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单位名称</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相互关系</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上述声明真实有效，否则我方负全部责任。</w:t>
      </w:r>
    </w:p>
    <w:p>
      <w:pPr>
        <w:spacing w:line="560" w:lineRule="exact"/>
        <w:ind w:firstLine="640" w:firstLineChars="200"/>
        <w:jc w:val="right"/>
        <w:rPr>
          <w:rFonts w:hint="eastAsia" w:ascii="仿宋_GB2312" w:hAnsi="仿宋_GB2312" w:eastAsia="仿宋_GB2312" w:cs="仿宋_GB2312"/>
          <w:sz w:val="32"/>
          <w:szCs w:val="32"/>
        </w:rPr>
      </w:pPr>
    </w:p>
    <w:p>
      <w:pPr>
        <w:spacing w:line="560" w:lineRule="exact"/>
        <w:ind w:firstLine="640" w:firstLineChars="200"/>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供应商名称（加盖公章）：______</w:t>
      </w:r>
    </w:p>
    <w:p>
      <w:pPr>
        <w:pStyle w:val="3"/>
        <w:spacing w:line="560" w:lineRule="exact"/>
        <w:jc w:val="right"/>
        <w:rPr>
          <w:rFonts w:hint="eastAsia" w:ascii="仿宋_GB2312" w:hAnsi="仿宋_GB2312" w:eastAsia="仿宋_GB2312" w:cs="仿宋_GB2312"/>
        </w:rPr>
      </w:pPr>
      <w:r>
        <w:rPr>
          <w:rFonts w:hint="eastAsia" w:ascii="仿宋_GB2312" w:hAnsi="仿宋_GB2312" w:eastAsia="仿宋_GB2312" w:cs="仿宋_GB2312"/>
        </w:rPr>
        <w:t xml:space="preserve">                 日期：____年____月____日</w:t>
      </w:r>
    </w:p>
    <w:p>
      <w:pPr>
        <w:widowControl/>
        <w:jc w:val="left"/>
        <w:rPr>
          <w:rFonts w:hint="eastAsia" w:ascii="仿宋_GB2312" w:hAnsi="仿宋_GB2312" w:eastAsia="仿宋_GB2312" w:cs="仿宋_GB2312"/>
          <w:sz w:val="32"/>
          <w:szCs w:val="32"/>
        </w:rPr>
      </w:pPr>
      <w:r>
        <w:rPr>
          <w:rFonts w:hint="eastAsia" w:eastAsia="仿宋_GB2312"/>
          <w:sz w:val="32"/>
          <w:szCs w:val="32"/>
        </w:rPr>
        <w:br w:type="page"/>
      </w:r>
    </w:p>
    <w:tbl>
      <w:tblPr>
        <w:tblStyle w:val="6"/>
        <w:tblW w:w="935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56"/>
        <w:gridCol w:w="1384"/>
        <w:gridCol w:w="4868"/>
        <w:gridCol w:w="709"/>
        <w:gridCol w:w="11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06" w:hRule="atLeast"/>
          <w:jc w:val="center"/>
        </w:trPr>
        <w:tc>
          <w:tcPr>
            <w:tcW w:w="1256"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bookmarkStart w:id="1" w:name="OLE_LINK20"/>
            <w:r>
              <w:rPr>
                <w:rFonts w:hint="eastAsia" w:ascii="宋体" w:hAnsi="宋体" w:cs="宋体"/>
                <w:color w:val="000000"/>
                <w:sz w:val="24"/>
              </w:rPr>
              <w:t>评分因素</w:t>
            </w:r>
          </w:p>
        </w:tc>
        <w:tc>
          <w:tcPr>
            <w:tcW w:w="1384"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评分项目</w:t>
            </w:r>
          </w:p>
        </w:tc>
        <w:tc>
          <w:tcPr>
            <w:tcW w:w="4868"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评分标准及说明</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分值</w:t>
            </w:r>
          </w:p>
        </w:tc>
        <w:tc>
          <w:tcPr>
            <w:tcW w:w="1134"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主客观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30" w:hRule="atLeast"/>
          <w:jc w:val="center"/>
        </w:trPr>
        <w:tc>
          <w:tcPr>
            <w:tcW w:w="1256" w:type="dxa"/>
            <w:tcBorders>
              <w:top w:val="single" w:color="auto" w:sz="4" w:space="0"/>
              <w:left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价格部分</w:t>
            </w:r>
          </w:p>
          <w:p>
            <w:pPr>
              <w:spacing w:line="276" w:lineRule="auto"/>
              <w:jc w:val="center"/>
              <w:rPr>
                <w:rFonts w:hint="eastAsia" w:ascii="宋体" w:hAnsi="宋体" w:cs="宋体"/>
                <w:color w:val="000000"/>
                <w:sz w:val="24"/>
              </w:rPr>
            </w:pPr>
            <w:r>
              <w:rPr>
                <w:rFonts w:hint="eastAsia" w:ascii="宋体" w:hAnsi="宋体" w:cs="宋体"/>
                <w:color w:val="000000"/>
                <w:sz w:val="24"/>
              </w:rPr>
              <w:t>（30分）</w:t>
            </w:r>
          </w:p>
        </w:tc>
        <w:tc>
          <w:tcPr>
            <w:tcW w:w="1384" w:type="dxa"/>
            <w:tcBorders>
              <w:top w:val="single" w:color="auto"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报价</w:t>
            </w:r>
          </w:p>
        </w:tc>
        <w:tc>
          <w:tcPr>
            <w:tcW w:w="4868"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rPr>
                <w:rFonts w:hint="eastAsia" w:ascii="宋体" w:hAnsi="宋体" w:cs="宋体"/>
                <w:color w:val="000000"/>
                <w:sz w:val="24"/>
              </w:rPr>
            </w:pPr>
            <w:r>
              <w:rPr>
                <w:rFonts w:hint="eastAsia" w:ascii="宋体" w:hAnsi="宋体" w:cs="宋体"/>
                <w:color w:val="000000"/>
                <w:sz w:val="24"/>
              </w:rPr>
              <w:t>满足需求文件要求且价格最低的为评标基准价，其价格分为满分。其他服务商的价格分统一按照下列公式计算：</w:t>
            </w:r>
          </w:p>
          <w:p>
            <w:pPr>
              <w:widowControl/>
              <w:spacing w:line="276" w:lineRule="auto"/>
              <w:rPr>
                <w:rFonts w:hint="eastAsia" w:ascii="宋体" w:hAnsi="宋体" w:cs="宋体"/>
                <w:color w:val="000000"/>
                <w:sz w:val="24"/>
              </w:rPr>
            </w:pPr>
            <w:r>
              <w:rPr>
                <w:rFonts w:hint="eastAsia" w:ascii="宋体" w:hAnsi="宋体" w:cs="宋体"/>
                <w:color w:val="000000"/>
                <w:sz w:val="24"/>
              </w:rPr>
              <w:t>比选报价得分=（评标基准价/比选报价）×30</w:t>
            </w:r>
          </w:p>
          <w:p>
            <w:pPr>
              <w:widowControl/>
              <w:snapToGrid w:val="0"/>
              <w:spacing w:line="276" w:lineRule="auto"/>
              <w:rPr>
                <w:rFonts w:hint="eastAsia" w:ascii="宋体" w:hAnsi="宋体" w:cs="宋体"/>
                <w:color w:val="000000"/>
                <w:sz w:val="24"/>
              </w:rPr>
            </w:pPr>
            <w:r>
              <w:rPr>
                <w:rFonts w:hint="eastAsia" w:ascii="宋体" w:hAnsi="宋体" w:cs="宋体"/>
                <w:color w:val="000000"/>
                <w:sz w:val="24"/>
              </w:rPr>
              <w:t>计算结果保留两位小数。</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30</w:t>
            </w:r>
          </w:p>
        </w:tc>
        <w:tc>
          <w:tcPr>
            <w:tcW w:w="1134"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客观分</w:t>
            </w:r>
          </w:p>
        </w:tc>
      </w:tr>
      <w:bookmarkEnd w:id="1"/>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30" w:hRule="atLeast"/>
          <w:jc w:val="center"/>
        </w:trPr>
        <w:tc>
          <w:tcPr>
            <w:tcW w:w="1256" w:type="dxa"/>
            <w:tcBorders>
              <w:top w:val="single" w:color="auto" w:sz="4" w:space="0"/>
              <w:left w:val="single" w:color="000000" w:sz="4" w:space="0"/>
              <w:right w:val="single" w:color="000000" w:sz="4" w:space="0"/>
            </w:tcBorders>
            <w:vAlign w:val="center"/>
          </w:tcPr>
          <w:p>
            <w:pPr>
              <w:spacing w:line="276" w:lineRule="auto"/>
              <w:jc w:val="center"/>
              <w:rPr>
                <w:rFonts w:hint="eastAsia" w:ascii="宋体" w:hAnsi="宋体" w:cs="宋体"/>
                <w:color w:val="000000"/>
                <w:sz w:val="24"/>
              </w:rPr>
            </w:pPr>
            <w:r>
              <w:rPr>
                <w:rFonts w:hint="eastAsia" w:ascii="宋体" w:hAnsi="宋体" w:cs="宋体"/>
                <w:color w:val="000000"/>
                <w:sz w:val="24"/>
              </w:rPr>
              <w:t>商务部分</w:t>
            </w:r>
            <w:r>
              <w:rPr>
                <w:rFonts w:hint="eastAsia" w:ascii="宋体" w:hAnsi="宋体" w:cs="宋体"/>
                <w:color w:val="000000"/>
                <w:sz w:val="24"/>
              </w:rPr>
              <w:br w:type="textWrapping"/>
            </w:r>
            <w:r>
              <w:rPr>
                <w:rFonts w:hint="eastAsia" w:ascii="宋体" w:hAnsi="宋体" w:cs="宋体"/>
                <w:color w:val="000000"/>
                <w:sz w:val="24"/>
              </w:rPr>
              <w:t>（10分）</w:t>
            </w:r>
          </w:p>
        </w:tc>
        <w:tc>
          <w:tcPr>
            <w:tcW w:w="1384" w:type="dxa"/>
            <w:tcBorders>
              <w:top w:val="single" w:color="auto"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bCs/>
                <w:sz w:val="24"/>
              </w:rPr>
            </w:pPr>
            <w:r>
              <w:rPr>
                <w:rFonts w:hint="eastAsia" w:ascii="宋体" w:hAnsi="宋体" w:cs="宋体"/>
                <w:bCs/>
                <w:sz w:val="24"/>
              </w:rPr>
              <w:t>类似项目业绩</w:t>
            </w:r>
          </w:p>
        </w:tc>
        <w:tc>
          <w:tcPr>
            <w:tcW w:w="48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left"/>
              <w:rPr>
                <w:rFonts w:hint="eastAsia" w:ascii="宋体" w:hAnsi="宋体" w:cs="宋体"/>
                <w:bCs/>
                <w:sz w:val="24"/>
              </w:rPr>
            </w:pPr>
            <w:r>
              <w:rPr>
                <w:rFonts w:hint="eastAsia" w:ascii="宋体" w:hAnsi="宋体" w:cs="宋体"/>
                <w:bCs/>
                <w:sz w:val="24"/>
              </w:rPr>
              <w:t>近三年(2023年1月1日起至比选文件递交截止之日，以合同签订日期为准)比选人类似软件开发项目业绩，每提供一份业绩得 2分，最高得10分；</w:t>
            </w:r>
          </w:p>
          <w:p>
            <w:pPr>
              <w:widowControl/>
              <w:snapToGrid w:val="0"/>
              <w:spacing w:line="276" w:lineRule="auto"/>
              <w:rPr>
                <w:rFonts w:hint="eastAsia" w:ascii="宋体" w:hAnsi="宋体" w:cs="宋体"/>
                <w:bCs/>
                <w:sz w:val="24"/>
              </w:rPr>
            </w:pPr>
            <w:r>
              <w:rPr>
                <w:rFonts w:hint="eastAsia" w:ascii="宋体" w:hAnsi="宋体" w:cs="宋体"/>
                <w:bCs/>
                <w:sz w:val="24"/>
              </w:rPr>
              <w:t>注：项目业绩需提供合同扫描件并加盖单位公章（至少包括合同的甲乙双方，项目内容页和双方签章及生效时间）。</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10</w:t>
            </w:r>
          </w:p>
        </w:tc>
        <w:tc>
          <w:tcPr>
            <w:tcW w:w="1134"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客观分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13" w:hRule="atLeast"/>
          <w:jc w:val="center"/>
        </w:trPr>
        <w:tc>
          <w:tcPr>
            <w:tcW w:w="1256" w:type="dxa"/>
            <w:vMerge w:val="restart"/>
            <w:tcBorders>
              <w:top w:val="single" w:color="auto" w:sz="4" w:space="0"/>
              <w:left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技术部分</w:t>
            </w:r>
          </w:p>
          <w:p>
            <w:pPr>
              <w:spacing w:line="276" w:lineRule="auto"/>
              <w:jc w:val="center"/>
              <w:rPr>
                <w:rFonts w:hint="eastAsia" w:ascii="宋体" w:hAnsi="宋体" w:cs="宋体"/>
                <w:color w:val="000000"/>
                <w:sz w:val="24"/>
              </w:rPr>
            </w:pPr>
            <w:r>
              <w:rPr>
                <w:rFonts w:hint="eastAsia" w:ascii="宋体" w:hAnsi="宋体" w:cs="宋体"/>
                <w:color w:val="000000"/>
                <w:sz w:val="24"/>
              </w:rPr>
              <w:t>（60分）</w:t>
            </w:r>
          </w:p>
        </w:tc>
        <w:tc>
          <w:tcPr>
            <w:tcW w:w="1384" w:type="dxa"/>
            <w:tcBorders>
              <w:top w:val="single" w:color="auto" w:sz="4" w:space="0"/>
              <w:left w:val="single" w:color="000000" w:sz="4" w:space="0"/>
              <w:bottom w:val="single" w:color="000000" w:sz="4" w:space="0"/>
              <w:right w:val="single" w:color="000000" w:sz="4" w:space="0"/>
            </w:tcBorders>
            <w:shd w:val="clear" w:color="auto" w:fill="auto"/>
            <w:vAlign w:val="center"/>
          </w:tcPr>
          <w:p>
            <w:pPr>
              <w:spacing w:line="276" w:lineRule="auto"/>
              <w:jc w:val="center"/>
              <w:rPr>
                <w:rFonts w:hint="eastAsia" w:ascii="宋体" w:hAnsi="宋体" w:cs="宋体"/>
                <w:bCs/>
                <w:sz w:val="24"/>
              </w:rPr>
            </w:pPr>
            <w:r>
              <w:rPr>
                <w:rFonts w:hint="eastAsia" w:ascii="宋体" w:hAnsi="宋体" w:cs="宋体"/>
                <w:bCs/>
                <w:sz w:val="24"/>
              </w:rPr>
              <w:t>技术指标响应</w:t>
            </w:r>
          </w:p>
        </w:tc>
        <w:tc>
          <w:tcPr>
            <w:tcW w:w="48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jc w:val="left"/>
              <w:rPr>
                <w:rFonts w:hint="eastAsia" w:ascii="宋体" w:hAnsi="宋体" w:cs="宋体"/>
                <w:bCs/>
                <w:sz w:val="24"/>
              </w:rPr>
            </w:pPr>
            <w:r>
              <w:rPr>
                <w:rFonts w:hint="eastAsia" w:ascii="宋体" w:hAnsi="宋体" w:cs="宋体"/>
                <w:bCs/>
                <w:sz w:val="24"/>
                <w:lang w:eastAsia="zh-CN"/>
              </w:rPr>
              <w:t>数据库技术参数</w:t>
            </w:r>
            <w:r>
              <w:rPr>
                <w:rFonts w:hint="eastAsia" w:ascii="宋体" w:hAnsi="宋体" w:cs="宋体"/>
                <w:bCs/>
                <w:sz w:val="24"/>
                <w:lang w:val="en-US" w:eastAsia="zh-CN"/>
              </w:rPr>
              <w:t>3-11项内容</w:t>
            </w:r>
            <w:r>
              <w:rPr>
                <w:rFonts w:hint="eastAsia" w:ascii="宋体" w:hAnsi="宋体" w:cs="宋体"/>
                <w:bCs/>
                <w:sz w:val="24"/>
              </w:rPr>
              <w:t xml:space="preserve">： </w:t>
            </w:r>
          </w:p>
          <w:p>
            <w:pPr>
              <w:widowControl/>
              <w:spacing w:line="276" w:lineRule="auto"/>
              <w:jc w:val="left"/>
              <w:rPr>
                <w:rFonts w:hint="eastAsia" w:ascii="宋体" w:hAnsi="宋体" w:cs="宋体"/>
                <w:bCs/>
                <w:sz w:val="24"/>
              </w:rPr>
            </w:pPr>
            <w:r>
              <w:rPr>
                <w:rFonts w:hint="eastAsia" w:ascii="宋体" w:hAnsi="宋体" w:cs="宋体"/>
                <w:bCs/>
                <w:sz w:val="24"/>
              </w:rPr>
              <w:t>（1）标“#”指标为重要指标，每有一项满足比选文件要求，得3分，共7项，最高21分；</w:t>
            </w:r>
          </w:p>
          <w:p>
            <w:pPr>
              <w:widowControl/>
              <w:spacing w:line="276" w:lineRule="auto"/>
              <w:jc w:val="left"/>
              <w:rPr>
                <w:rFonts w:hint="eastAsia" w:ascii="宋体" w:hAnsi="宋体" w:cs="宋体"/>
                <w:bCs/>
                <w:sz w:val="24"/>
              </w:rPr>
            </w:pPr>
            <w:r>
              <w:rPr>
                <w:rFonts w:hint="eastAsia" w:ascii="宋体" w:hAnsi="宋体" w:cs="宋体"/>
                <w:bCs/>
                <w:sz w:val="24"/>
              </w:rPr>
              <w:t>（2）无标识指标为一般指标，每有一项满足比选文件要求，得2分，共2项，最高4分；</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76" w:lineRule="auto"/>
              <w:jc w:val="center"/>
              <w:rPr>
                <w:rFonts w:hint="eastAsia" w:ascii="宋体" w:hAnsi="宋体" w:cs="宋体" w:eastAsiaTheme="minorEastAsia"/>
                <w:color w:val="000000"/>
                <w:sz w:val="24"/>
                <w:lang w:eastAsia="zh-CN"/>
              </w:rPr>
            </w:pPr>
            <w:r>
              <w:rPr>
                <w:rFonts w:hint="eastAsia" w:ascii="宋体" w:hAnsi="宋体" w:cs="宋体"/>
                <w:color w:val="000000"/>
                <w:sz w:val="24"/>
              </w:rPr>
              <w:t>2</w:t>
            </w:r>
            <w:r>
              <w:rPr>
                <w:rFonts w:hint="eastAsia" w:ascii="宋体" w:hAnsi="宋体" w:cs="宋体"/>
                <w:color w:val="000000"/>
                <w:sz w:val="24"/>
                <w:lang w:val="en-US" w:eastAsia="zh-CN"/>
              </w:rPr>
              <w:t>5</w:t>
            </w:r>
          </w:p>
        </w:tc>
        <w:tc>
          <w:tcPr>
            <w:tcW w:w="1134"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客观分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38" w:hRule="atLeast"/>
          <w:jc w:val="center"/>
        </w:trPr>
        <w:tc>
          <w:tcPr>
            <w:tcW w:w="1256" w:type="dxa"/>
            <w:vMerge w:val="continue"/>
            <w:tcBorders>
              <w:left w:val="single" w:color="000000" w:sz="4" w:space="0"/>
              <w:right w:val="single" w:color="000000" w:sz="4" w:space="0"/>
            </w:tcBorders>
            <w:vAlign w:val="center"/>
          </w:tcPr>
          <w:p>
            <w:pPr>
              <w:spacing w:line="276" w:lineRule="auto"/>
              <w:jc w:val="center"/>
              <w:rPr>
                <w:rFonts w:hint="eastAsia" w:ascii="宋体" w:hAnsi="宋体" w:cs="宋体"/>
                <w:color w:val="000000"/>
                <w:sz w:val="24"/>
              </w:rPr>
            </w:pPr>
            <w:bookmarkStart w:id="2" w:name="_Hlk242537376"/>
          </w:p>
        </w:tc>
        <w:tc>
          <w:tcPr>
            <w:tcW w:w="1384" w:type="dxa"/>
            <w:tcBorders>
              <w:top w:val="single" w:color="auto" w:sz="4" w:space="0"/>
              <w:left w:val="single" w:color="000000" w:sz="4" w:space="0"/>
              <w:bottom w:val="single" w:color="000000" w:sz="4" w:space="0"/>
              <w:right w:val="single" w:color="000000" w:sz="4" w:space="0"/>
            </w:tcBorders>
            <w:vAlign w:val="center"/>
          </w:tcPr>
          <w:p>
            <w:pPr>
              <w:spacing w:line="276" w:lineRule="auto"/>
              <w:jc w:val="center"/>
              <w:rPr>
                <w:rFonts w:hint="eastAsia" w:ascii="宋体" w:hAnsi="宋体" w:cs="宋体"/>
                <w:bCs/>
                <w:sz w:val="24"/>
              </w:rPr>
            </w:pPr>
            <w:r>
              <w:rPr>
                <w:rFonts w:ascii="宋体" w:hAnsi="宋体" w:cs="宋体"/>
                <w:bCs/>
                <w:sz w:val="24"/>
              </w:rPr>
              <w:t>对本项目的理解和分析</w:t>
            </w:r>
          </w:p>
        </w:tc>
        <w:tc>
          <w:tcPr>
            <w:tcW w:w="48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left"/>
              <w:rPr>
                <w:rFonts w:hint="eastAsia" w:ascii="宋体" w:hAnsi="宋体" w:cs="宋体"/>
                <w:bCs/>
                <w:sz w:val="24"/>
              </w:rPr>
            </w:pPr>
            <w:r>
              <w:rPr>
                <w:rFonts w:hint="eastAsia" w:ascii="宋体" w:hAnsi="宋体" w:cs="宋体"/>
                <w:bCs/>
                <w:sz w:val="24"/>
              </w:rPr>
              <w:t>（1）对项目的工作理解和认识深刻，服务特点、重点难点分析透彻，表述全面准确，得</w:t>
            </w:r>
            <w:r>
              <w:rPr>
                <w:rFonts w:hint="eastAsia" w:ascii="宋体" w:hAnsi="宋体" w:cs="宋体"/>
                <w:bCs/>
                <w:sz w:val="24"/>
                <w:lang w:val="en-US" w:eastAsia="zh-CN"/>
              </w:rPr>
              <w:t>5</w:t>
            </w:r>
            <w:r>
              <w:rPr>
                <w:rFonts w:hint="eastAsia" w:ascii="宋体" w:hAnsi="宋体" w:cs="宋体"/>
                <w:bCs/>
                <w:sz w:val="24"/>
              </w:rPr>
              <w:t>分；</w:t>
            </w:r>
          </w:p>
          <w:p>
            <w:pPr>
              <w:spacing w:line="276" w:lineRule="auto"/>
              <w:jc w:val="left"/>
              <w:rPr>
                <w:rFonts w:hint="eastAsia" w:ascii="宋体" w:hAnsi="宋体" w:cs="宋体"/>
                <w:bCs/>
                <w:sz w:val="24"/>
              </w:rPr>
            </w:pPr>
            <w:r>
              <w:rPr>
                <w:rFonts w:hint="eastAsia" w:ascii="宋体" w:hAnsi="宋体" w:cs="宋体"/>
                <w:bCs/>
                <w:sz w:val="24"/>
              </w:rPr>
              <w:t>（2）对项目的工作理解和认识较深刻，服务特点、重点、难点分析较透彻，表述较准确，得</w:t>
            </w:r>
            <w:r>
              <w:rPr>
                <w:rFonts w:hint="eastAsia" w:ascii="宋体" w:hAnsi="宋体" w:cs="宋体"/>
                <w:bCs/>
                <w:sz w:val="24"/>
                <w:lang w:val="en-US" w:eastAsia="zh-CN"/>
              </w:rPr>
              <w:t>3</w:t>
            </w:r>
            <w:r>
              <w:rPr>
                <w:rFonts w:hint="eastAsia" w:ascii="宋体" w:hAnsi="宋体" w:cs="宋体"/>
                <w:bCs/>
                <w:sz w:val="24"/>
              </w:rPr>
              <w:t>分；</w:t>
            </w:r>
          </w:p>
          <w:p>
            <w:pPr>
              <w:spacing w:line="276" w:lineRule="auto"/>
              <w:jc w:val="left"/>
              <w:rPr>
                <w:rFonts w:hint="eastAsia" w:ascii="宋体" w:hAnsi="宋体" w:cs="宋体"/>
                <w:bCs/>
                <w:sz w:val="24"/>
              </w:rPr>
            </w:pPr>
            <w:r>
              <w:rPr>
                <w:rFonts w:hint="eastAsia" w:ascii="宋体" w:hAnsi="宋体" w:cs="宋体"/>
                <w:bCs/>
                <w:sz w:val="24"/>
              </w:rPr>
              <w:t>（3）对项目的工作理解和认识不深刻，分析不透彻，得</w:t>
            </w:r>
            <w:r>
              <w:rPr>
                <w:rFonts w:hint="eastAsia" w:ascii="宋体" w:hAnsi="宋体" w:cs="宋体"/>
                <w:bCs/>
                <w:sz w:val="24"/>
                <w:lang w:val="en-US" w:eastAsia="zh-CN"/>
              </w:rPr>
              <w:t>1</w:t>
            </w:r>
            <w:r>
              <w:rPr>
                <w:rFonts w:hint="eastAsia" w:ascii="宋体" w:hAnsi="宋体" w:cs="宋体"/>
                <w:bCs/>
                <w:sz w:val="24"/>
              </w:rPr>
              <w:t>分；</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eastAsiaTheme="minorEastAsia"/>
                <w:color w:val="000000"/>
                <w:sz w:val="24"/>
                <w:lang w:eastAsia="zh-CN"/>
              </w:rPr>
            </w:pPr>
            <w:r>
              <w:rPr>
                <w:rFonts w:hint="eastAsia" w:ascii="宋体" w:hAnsi="宋体" w:cs="宋体"/>
                <w:color w:val="000000"/>
                <w:sz w:val="24"/>
                <w:lang w:val="en-US" w:eastAsia="zh-CN"/>
              </w:rPr>
              <w:t>5</w:t>
            </w:r>
          </w:p>
        </w:tc>
        <w:tc>
          <w:tcPr>
            <w:tcW w:w="1134"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主观分</w:t>
            </w:r>
          </w:p>
        </w:tc>
      </w:tr>
      <w:bookmarkEnd w:id="2"/>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38" w:hRule="atLeast"/>
          <w:jc w:val="center"/>
        </w:trPr>
        <w:tc>
          <w:tcPr>
            <w:tcW w:w="1256" w:type="dxa"/>
            <w:vMerge w:val="continue"/>
            <w:tcBorders>
              <w:left w:val="single" w:color="000000" w:sz="4" w:space="0"/>
              <w:right w:val="single" w:color="000000" w:sz="4" w:space="0"/>
            </w:tcBorders>
            <w:vAlign w:val="center"/>
          </w:tcPr>
          <w:p>
            <w:pPr>
              <w:spacing w:line="276" w:lineRule="auto"/>
              <w:jc w:val="center"/>
              <w:rPr>
                <w:rFonts w:hint="eastAsia" w:ascii="宋体" w:hAnsi="宋体" w:cs="宋体"/>
                <w:color w:val="000000"/>
                <w:sz w:val="24"/>
              </w:rPr>
            </w:pPr>
          </w:p>
        </w:tc>
        <w:tc>
          <w:tcPr>
            <w:tcW w:w="1384" w:type="dxa"/>
            <w:tcBorders>
              <w:top w:val="single" w:color="auto" w:sz="4" w:space="0"/>
              <w:left w:val="single" w:color="000000" w:sz="4" w:space="0"/>
              <w:bottom w:val="single" w:color="000000" w:sz="4" w:space="0"/>
              <w:right w:val="single" w:color="000000" w:sz="4" w:space="0"/>
            </w:tcBorders>
            <w:vAlign w:val="center"/>
          </w:tcPr>
          <w:p>
            <w:pPr>
              <w:spacing w:line="276" w:lineRule="auto"/>
              <w:jc w:val="center"/>
              <w:rPr>
                <w:rFonts w:hint="eastAsia" w:ascii="宋体" w:hAnsi="宋体" w:cs="宋体"/>
                <w:bCs/>
                <w:sz w:val="24"/>
              </w:rPr>
            </w:pPr>
            <w:r>
              <w:rPr>
                <w:rFonts w:hint="eastAsia" w:ascii="宋体" w:hAnsi="宋体" w:cs="宋体"/>
                <w:bCs/>
                <w:sz w:val="24"/>
              </w:rPr>
              <w:t>实施方案</w:t>
            </w:r>
          </w:p>
        </w:tc>
        <w:tc>
          <w:tcPr>
            <w:tcW w:w="48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left"/>
              <w:rPr>
                <w:rFonts w:hint="eastAsia" w:ascii="宋体" w:hAnsi="宋体" w:cs="宋体"/>
                <w:bCs/>
                <w:sz w:val="24"/>
              </w:rPr>
            </w:pPr>
            <w:r>
              <w:rPr>
                <w:rFonts w:hint="eastAsia" w:ascii="宋体" w:hAnsi="宋体" w:cs="宋体"/>
                <w:bCs/>
                <w:sz w:val="24"/>
              </w:rPr>
              <w:t>结合本项目特点编写技术实施方案，包括但不限于：</w:t>
            </w:r>
          </w:p>
          <w:p>
            <w:pPr>
              <w:spacing w:line="276" w:lineRule="auto"/>
              <w:jc w:val="left"/>
              <w:rPr>
                <w:rFonts w:hint="eastAsia" w:ascii="宋体" w:hAnsi="宋体" w:cs="宋体"/>
                <w:bCs/>
                <w:sz w:val="24"/>
              </w:rPr>
            </w:pPr>
            <w:r>
              <w:rPr>
                <w:rFonts w:hint="eastAsia" w:ascii="宋体" w:hAnsi="宋体" w:cs="宋体"/>
                <w:bCs/>
                <w:sz w:val="24"/>
              </w:rPr>
              <w:t>总体设计技术路线、业务架构、系统架构、部署架构等内容：</w:t>
            </w:r>
          </w:p>
          <w:p>
            <w:pPr>
              <w:spacing w:line="276" w:lineRule="auto"/>
              <w:jc w:val="left"/>
              <w:rPr>
                <w:rFonts w:hint="eastAsia" w:ascii="宋体" w:hAnsi="宋体" w:cs="宋体"/>
                <w:bCs/>
                <w:sz w:val="24"/>
              </w:rPr>
            </w:pPr>
            <w:r>
              <w:rPr>
                <w:rFonts w:hint="eastAsia" w:ascii="宋体" w:hAnsi="宋体" w:cs="宋体"/>
                <w:bCs/>
                <w:sz w:val="24"/>
              </w:rPr>
              <w:t>1.</w:t>
            </w:r>
            <w:bookmarkStart w:id="3" w:name="OLE_LINK26"/>
            <w:bookmarkStart w:id="4" w:name="OLE_LINK25"/>
            <w:r>
              <w:rPr>
                <w:rFonts w:hint="eastAsia" w:ascii="宋体" w:hAnsi="宋体" w:cs="宋体"/>
                <w:bCs/>
                <w:sz w:val="24"/>
              </w:rPr>
              <w:t>技术</w:t>
            </w:r>
            <w:bookmarkEnd w:id="3"/>
            <w:r>
              <w:rPr>
                <w:rFonts w:hint="eastAsia" w:ascii="宋体" w:hAnsi="宋体" w:cs="宋体"/>
                <w:bCs/>
                <w:sz w:val="24"/>
              </w:rPr>
              <w:t>实施方案</w:t>
            </w:r>
            <w:bookmarkEnd w:id="4"/>
            <w:r>
              <w:rPr>
                <w:rFonts w:hint="eastAsia" w:ascii="宋体" w:hAnsi="宋体" w:cs="宋体"/>
                <w:bCs/>
                <w:sz w:val="24"/>
              </w:rPr>
              <w:t>全面完善、重点突出、针对性强，技术实现内容描述全面，得10分；</w:t>
            </w:r>
          </w:p>
          <w:p>
            <w:pPr>
              <w:spacing w:line="276" w:lineRule="auto"/>
              <w:jc w:val="left"/>
              <w:rPr>
                <w:rFonts w:hint="eastAsia" w:ascii="宋体" w:hAnsi="宋体" w:cs="宋体"/>
                <w:bCs/>
                <w:sz w:val="24"/>
              </w:rPr>
            </w:pPr>
            <w:r>
              <w:rPr>
                <w:rFonts w:hint="eastAsia" w:ascii="宋体" w:hAnsi="宋体" w:cs="宋体"/>
                <w:bCs/>
                <w:sz w:val="24"/>
              </w:rPr>
              <w:t>2. 技术实施方案描述较为全面、有一定的重点、具有一定的针对性，技术实现内容描述较合理、可行，得8 分；</w:t>
            </w:r>
          </w:p>
          <w:p>
            <w:pPr>
              <w:spacing w:line="276" w:lineRule="auto"/>
              <w:jc w:val="left"/>
              <w:rPr>
                <w:rFonts w:hint="eastAsia" w:ascii="宋体" w:hAnsi="宋体" w:cs="宋体"/>
                <w:bCs/>
                <w:sz w:val="24"/>
              </w:rPr>
            </w:pPr>
            <w:r>
              <w:rPr>
                <w:rFonts w:hint="eastAsia" w:ascii="宋体" w:hAnsi="宋体" w:cs="宋体"/>
                <w:bCs/>
                <w:sz w:val="24"/>
              </w:rPr>
              <w:t>3. 技术实施方案描述不全面、未突出重点和针对性，技术实现内容描述较少内容合理、可行，得6分；</w:t>
            </w:r>
          </w:p>
          <w:p>
            <w:pPr>
              <w:spacing w:line="276" w:lineRule="auto"/>
              <w:jc w:val="left"/>
              <w:rPr>
                <w:rFonts w:hint="eastAsia" w:ascii="宋体" w:hAnsi="宋体" w:cs="宋体"/>
                <w:bCs/>
                <w:sz w:val="24"/>
              </w:rPr>
            </w:pPr>
            <w:r>
              <w:rPr>
                <w:rFonts w:hint="eastAsia" w:ascii="宋体" w:hAnsi="宋体" w:cs="宋体"/>
                <w:bCs/>
                <w:sz w:val="24"/>
              </w:rPr>
              <w:t>4. 技术实施方案描述存在显著缺失，不具有针对性，无法实现技术内容，得4 分；</w:t>
            </w:r>
          </w:p>
          <w:p>
            <w:pPr>
              <w:spacing w:line="276" w:lineRule="auto"/>
              <w:jc w:val="left"/>
              <w:rPr>
                <w:rFonts w:hint="eastAsia" w:ascii="宋体" w:hAnsi="宋体" w:cs="宋体"/>
                <w:bCs/>
                <w:sz w:val="24"/>
              </w:rPr>
            </w:pPr>
            <w:r>
              <w:rPr>
                <w:rFonts w:hint="eastAsia" w:ascii="宋体" w:hAnsi="宋体" w:cs="宋体"/>
                <w:bCs/>
                <w:sz w:val="24"/>
              </w:rPr>
              <w:t>5.未提供</w:t>
            </w:r>
            <w:r>
              <w:rPr>
                <w:rFonts w:hint="eastAsia" w:ascii="宋体" w:hAnsi="宋体" w:cs="宋体"/>
                <w:bCs/>
                <w:sz w:val="24"/>
                <w:lang w:eastAsia="zh-CN"/>
              </w:rPr>
              <w:t>实施方案</w:t>
            </w:r>
            <w:r>
              <w:rPr>
                <w:rFonts w:hint="eastAsia" w:ascii="宋体" w:hAnsi="宋体" w:cs="宋体"/>
                <w:bCs/>
                <w:sz w:val="24"/>
              </w:rPr>
              <w:t>，得0分。</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10</w:t>
            </w:r>
          </w:p>
        </w:tc>
        <w:tc>
          <w:tcPr>
            <w:tcW w:w="1134"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主观分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38" w:hRule="atLeast"/>
          <w:jc w:val="center"/>
        </w:trPr>
        <w:tc>
          <w:tcPr>
            <w:tcW w:w="1256" w:type="dxa"/>
            <w:vMerge w:val="continue"/>
            <w:tcBorders>
              <w:left w:val="single" w:color="000000" w:sz="4" w:space="0"/>
              <w:right w:val="single" w:color="000000" w:sz="4" w:space="0"/>
            </w:tcBorders>
            <w:vAlign w:val="center"/>
          </w:tcPr>
          <w:p>
            <w:pPr>
              <w:spacing w:line="276" w:lineRule="auto"/>
              <w:jc w:val="center"/>
              <w:rPr>
                <w:rFonts w:hint="eastAsia" w:ascii="宋体" w:hAnsi="宋体" w:cs="宋体"/>
                <w:color w:val="000000"/>
                <w:sz w:val="24"/>
              </w:rPr>
            </w:pPr>
          </w:p>
        </w:tc>
        <w:tc>
          <w:tcPr>
            <w:tcW w:w="1384" w:type="dxa"/>
            <w:tcBorders>
              <w:top w:val="single" w:color="auto" w:sz="4" w:space="0"/>
              <w:left w:val="single" w:color="000000" w:sz="4" w:space="0"/>
              <w:bottom w:val="single" w:color="000000" w:sz="4" w:space="0"/>
              <w:right w:val="single" w:color="000000" w:sz="4" w:space="0"/>
            </w:tcBorders>
            <w:vAlign w:val="center"/>
          </w:tcPr>
          <w:p>
            <w:pPr>
              <w:spacing w:line="276" w:lineRule="auto"/>
              <w:jc w:val="center"/>
              <w:rPr>
                <w:rFonts w:hint="eastAsia" w:ascii="宋体" w:hAnsi="宋体" w:cs="宋体"/>
                <w:bCs/>
                <w:sz w:val="24"/>
              </w:rPr>
            </w:pPr>
            <w:r>
              <w:rPr>
                <w:rFonts w:hint="eastAsia" w:ascii="宋体" w:hAnsi="宋体" w:cs="宋体"/>
                <w:bCs/>
                <w:sz w:val="24"/>
              </w:rPr>
              <w:t>数据库迁移方案</w:t>
            </w:r>
          </w:p>
        </w:tc>
        <w:tc>
          <w:tcPr>
            <w:tcW w:w="48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left"/>
              <w:rPr>
                <w:rFonts w:hint="eastAsia" w:ascii="宋体" w:hAnsi="宋体" w:cs="宋体"/>
                <w:bCs/>
                <w:sz w:val="24"/>
              </w:rPr>
            </w:pPr>
            <w:r>
              <w:rPr>
                <w:rFonts w:hint="eastAsia" w:ascii="宋体" w:hAnsi="宋体" w:cs="宋体"/>
                <w:bCs/>
                <w:sz w:val="24"/>
              </w:rPr>
              <w:t>（1）方案紧密结合本项目</w:t>
            </w:r>
            <w:r>
              <w:rPr>
                <w:rFonts w:ascii="宋体" w:hAnsi="宋体" w:cs="宋体"/>
                <w:bCs/>
                <w:sz w:val="24"/>
              </w:rPr>
              <w:t>特点</w:t>
            </w:r>
            <w:r>
              <w:rPr>
                <w:rFonts w:hint="eastAsia" w:ascii="宋体" w:hAnsi="宋体" w:cs="宋体"/>
                <w:bCs/>
                <w:sz w:val="24"/>
              </w:rPr>
              <w:t>方案全部覆盖采购需求，场景考虑全面，具备针对性分析的；流程完整，时限明确，计划安排合理；提供书面服务承诺书，明确数据安全等实质性承诺</w:t>
            </w:r>
            <w:r>
              <w:rPr>
                <w:rFonts w:ascii="宋体" w:hAnsi="宋体" w:cs="宋体"/>
                <w:bCs/>
                <w:sz w:val="24"/>
              </w:rPr>
              <w:t>，</w:t>
            </w:r>
            <w:r>
              <w:rPr>
                <w:rFonts w:hint="eastAsia" w:ascii="宋体" w:hAnsi="宋体" w:cs="宋体"/>
                <w:bCs/>
                <w:sz w:val="24"/>
              </w:rPr>
              <w:t>得10分；</w:t>
            </w:r>
          </w:p>
          <w:p>
            <w:pPr>
              <w:spacing w:line="276" w:lineRule="auto"/>
              <w:jc w:val="left"/>
              <w:rPr>
                <w:rFonts w:hint="eastAsia" w:ascii="宋体" w:hAnsi="宋体" w:cs="宋体"/>
                <w:bCs/>
                <w:sz w:val="24"/>
              </w:rPr>
            </w:pPr>
            <w:r>
              <w:rPr>
                <w:rFonts w:hint="eastAsia" w:ascii="宋体" w:hAnsi="宋体" w:cs="宋体"/>
                <w:bCs/>
                <w:sz w:val="24"/>
              </w:rPr>
              <w:t>（2）</w:t>
            </w:r>
            <w:bookmarkStart w:id="5" w:name="OLE_LINK27"/>
            <w:r>
              <w:rPr>
                <w:rFonts w:hint="eastAsia" w:ascii="宋体" w:hAnsi="宋体" w:cs="宋体"/>
                <w:bCs/>
                <w:sz w:val="24"/>
              </w:rPr>
              <w:t>方案基本覆盖采购需求，场景考虑不够全面，缺乏针对性分析的；流程基本完整，时限要求模糊，计划安排笼统；</w:t>
            </w:r>
            <w:bookmarkEnd w:id="5"/>
            <w:r>
              <w:rPr>
                <w:rFonts w:hint="eastAsia" w:ascii="宋体" w:hAnsi="宋体" w:cs="宋体"/>
                <w:bCs/>
                <w:sz w:val="24"/>
              </w:rPr>
              <w:t>提供书面服务承诺书，但仅有通用服务承诺，无违约处置约定的，得</w:t>
            </w:r>
            <w:r>
              <w:rPr>
                <w:rFonts w:ascii="宋体" w:hAnsi="宋体" w:cs="宋体"/>
                <w:bCs/>
                <w:sz w:val="24"/>
              </w:rPr>
              <w:t>5</w:t>
            </w:r>
            <w:r>
              <w:rPr>
                <w:rFonts w:hint="eastAsia" w:ascii="宋体" w:hAnsi="宋体" w:cs="宋体"/>
                <w:bCs/>
                <w:sz w:val="24"/>
              </w:rPr>
              <w:t>分；</w:t>
            </w:r>
          </w:p>
          <w:p>
            <w:pPr>
              <w:spacing w:line="276" w:lineRule="auto"/>
              <w:jc w:val="left"/>
              <w:rPr>
                <w:rFonts w:hint="eastAsia" w:ascii="宋体" w:hAnsi="宋体" w:cs="宋体"/>
                <w:bCs/>
                <w:sz w:val="24"/>
              </w:rPr>
            </w:pPr>
            <w:r>
              <w:rPr>
                <w:rFonts w:hint="eastAsia" w:ascii="宋体" w:hAnsi="宋体" w:cs="宋体"/>
                <w:bCs/>
                <w:sz w:val="24"/>
              </w:rPr>
              <w:t>（</w:t>
            </w:r>
            <w:r>
              <w:rPr>
                <w:rFonts w:ascii="宋体" w:hAnsi="宋体" w:cs="宋体"/>
                <w:bCs/>
                <w:sz w:val="24"/>
              </w:rPr>
              <w:t>3</w:t>
            </w:r>
            <w:r>
              <w:rPr>
                <w:rFonts w:hint="eastAsia" w:ascii="宋体" w:hAnsi="宋体" w:cs="宋体"/>
                <w:bCs/>
                <w:sz w:val="24"/>
              </w:rPr>
              <w:t>）方案仅简单罗列通用数据迁移内容，未结合本项目实际；流程基本完整，时限要求模糊，计划安排笼统；未提供书面服务承诺书或仅复制比选要求的，得2分；</w:t>
            </w:r>
          </w:p>
          <w:p>
            <w:pPr>
              <w:spacing w:line="276" w:lineRule="auto"/>
              <w:jc w:val="left"/>
              <w:rPr>
                <w:rFonts w:hint="eastAsia" w:ascii="宋体" w:hAnsi="宋体" w:cs="宋体"/>
                <w:bCs/>
                <w:sz w:val="24"/>
              </w:rPr>
            </w:pPr>
            <w:r>
              <w:rPr>
                <w:rFonts w:hint="eastAsia" w:ascii="宋体" w:hAnsi="宋体" w:cs="宋体"/>
                <w:bCs/>
                <w:sz w:val="24"/>
              </w:rPr>
              <w:t>（</w:t>
            </w:r>
            <w:r>
              <w:rPr>
                <w:rFonts w:ascii="宋体" w:hAnsi="宋体" w:cs="宋体"/>
                <w:bCs/>
                <w:sz w:val="24"/>
              </w:rPr>
              <w:t>4</w:t>
            </w:r>
            <w:r>
              <w:rPr>
                <w:rFonts w:hint="eastAsia" w:ascii="宋体" w:hAnsi="宋体" w:cs="宋体"/>
                <w:bCs/>
                <w:sz w:val="24"/>
              </w:rPr>
              <w:t>）未提供相关内容，得0分。</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10</w:t>
            </w:r>
          </w:p>
        </w:tc>
        <w:tc>
          <w:tcPr>
            <w:tcW w:w="1134"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主观分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38" w:hRule="atLeast"/>
          <w:jc w:val="center"/>
        </w:trPr>
        <w:tc>
          <w:tcPr>
            <w:tcW w:w="1256" w:type="dxa"/>
            <w:vMerge w:val="continue"/>
            <w:tcBorders>
              <w:left w:val="single" w:color="000000" w:sz="4" w:space="0"/>
              <w:right w:val="single" w:color="000000" w:sz="4" w:space="0"/>
            </w:tcBorders>
            <w:vAlign w:val="center"/>
          </w:tcPr>
          <w:p>
            <w:pPr>
              <w:spacing w:line="276" w:lineRule="auto"/>
              <w:jc w:val="center"/>
              <w:rPr>
                <w:rFonts w:hint="eastAsia" w:ascii="宋体" w:hAnsi="宋体" w:cs="宋体"/>
                <w:color w:val="000000"/>
                <w:sz w:val="24"/>
              </w:rPr>
            </w:pPr>
          </w:p>
        </w:tc>
        <w:tc>
          <w:tcPr>
            <w:tcW w:w="1384" w:type="dxa"/>
            <w:tcBorders>
              <w:top w:val="single" w:color="auto" w:sz="4" w:space="0"/>
              <w:left w:val="single" w:color="000000" w:sz="4" w:space="0"/>
              <w:bottom w:val="single" w:color="000000" w:sz="4" w:space="0"/>
              <w:right w:val="single" w:color="000000" w:sz="4" w:space="0"/>
            </w:tcBorders>
            <w:vAlign w:val="center"/>
          </w:tcPr>
          <w:p>
            <w:pPr>
              <w:spacing w:line="276" w:lineRule="auto"/>
              <w:jc w:val="center"/>
              <w:rPr>
                <w:rFonts w:hint="eastAsia" w:ascii="宋体" w:hAnsi="宋体" w:cs="宋体" w:eastAsiaTheme="minorEastAsia"/>
                <w:bCs/>
                <w:sz w:val="24"/>
                <w:lang w:eastAsia="zh-CN"/>
              </w:rPr>
            </w:pPr>
            <w:r>
              <w:rPr>
                <w:rFonts w:ascii="宋体" w:hAnsi="宋体" w:cs="宋体"/>
                <w:bCs/>
                <w:sz w:val="24"/>
              </w:rPr>
              <w:t>人员</w:t>
            </w:r>
            <w:r>
              <w:rPr>
                <w:rFonts w:hint="eastAsia" w:ascii="宋体" w:hAnsi="宋体" w:cs="宋体"/>
                <w:bCs/>
                <w:sz w:val="24"/>
                <w:lang w:eastAsia="zh-CN"/>
              </w:rPr>
              <w:t>资质证书</w:t>
            </w:r>
          </w:p>
        </w:tc>
        <w:tc>
          <w:tcPr>
            <w:tcW w:w="48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left"/>
              <w:rPr>
                <w:rFonts w:hint="eastAsia" w:ascii="宋体" w:hAnsi="宋体" w:cs="宋体"/>
                <w:bCs/>
                <w:sz w:val="24"/>
              </w:rPr>
            </w:pPr>
            <w:r>
              <w:rPr>
                <w:rFonts w:hint="eastAsia" w:ascii="宋体" w:hAnsi="宋体" w:cs="宋体"/>
                <w:bCs/>
                <w:sz w:val="24"/>
              </w:rPr>
              <w:t>根据团队情况：</w:t>
            </w:r>
          </w:p>
          <w:p>
            <w:pPr>
              <w:numPr>
                <w:ilvl w:val="0"/>
                <w:numId w:val="1"/>
              </w:numPr>
              <w:spacing w:after="0" w:line="276" w:lineRule="auto"/>
              <w:jc w:val="left"/>
              <w:rPr>
                <w:rFonts w:hint="eastAsia" w:ascii="宋体" w:hAnsi="宋体" w:cs="宋体"/>
                <w:bCs/>
                <w:sz w:val="24"/>
              </w:rPr>
            </w:pPr>
            <w:r>
              <w:rPr>
                <w:rFonts w:hint="eastAsia" w:ascii="宋体" w:hAnsi="宋体" w:cs="宋体"/>
                <w:bCs/>
                <w:sz w:val="24"/>
              </w:rPr>
              <w:t>团队人员中有具备</w:t>
            </w:r>
            <w:bookmarkStart w:id="6" w:name="OLE_LINK2"/>
            <w:r>
              <w:rPr>
                <w:rFonts w:hint="eastAsia" w:ascii="宋体" w:hAnsi="宋体" w:cs="宋体"/>
                <w:bCs/>
                <w:sz w:val="24"/>
              </w:rPr>
              <w:t>PMP项目管理证书</w:t>
            </w:r>
            <w:bookmarkEnd w:id="6"/>
            <w:r>
              <w:rPr>
                <w:rFonts w:hint="eastAsia" w:ascii="宋体" w:hAnsi="宋体" w:cs="宋体"/>
                <w:bCs/>
                <w:sz w:val="24"/>
              </w:rPr>
              <w:t>，计算机技术与软件专业技术资格的得5分；</w:t>
            </w:r>
          </w:p>
          <w:p>
            <w:pPr>
              <w:spacing w:line="276" w:lineRule="auto"/>
              <w:jc w:val="left"/>
              <w:rPr>
                <w:rFonts w:hint="eastAsia" w:ascii="宋体" w:hAnsi="宋体" w:cs="宋体"/>
                <w:bCs/>
                <w:sz w:val="24"/>
              </w:rPr>
            </w:pPr>
            <w:r>
              <w:rPr>
                <w:rFonts w:hint="eastAsia" w:ascii="宋体" w:hAnsi="宋体" w:cs="宋体"/>
                <w:bCs/>
                <w:sz w:val="24"/>
              </w:rPr>
              <w:t>（2）团队人员中仅具备计算机技术与软件专业技术资格</w:t>
            </w:r>
            <w:r>
              <w:rPr>
                <w:rFonts w:hint="eastAsia" w:ascii="宋体" w:hAnsi="宋体" w:cs="宋体"/>
                <w:bCs/>
                <w:sz w:val="24"/>
                <w:lang w:eastAsia="zh-CN"/>
              </w:rPr>
              <w:t>或</w:t>
            </w:r>
            <w:r>
              <w:rPr>
                <w:rFonts w:hint="eastAsia" w:ascii="宋体" w:hAnsi="宋体" w:cs="宋体"/>
                <w:bCs/>
                <w:sz w:val="24"/>
              </w:rPr>
              <w:t>PMP项目管理证书</w:t>
            </w:r>
            <w:r>
              <w:rPr>
                <w:rFonts w:hint="eastAsia" w:ascii="宋体" w:hAnsi="宋体" w:cs="宋体"/>
                <w:bCs/>
                <w:sz w:val="24"/>
                <w:lang w:eastAsia="zh-CN"/>
              </w:rPr>
              <w:t>之一</w:t>
            </w:r>
            <w:r>
              <w:rPr>
                <w:rFonts w:hint="eastAsia" w:ascii="宋体" w:hAnsi="宋体" w:cs="宋体"/>
                <w:bCs/>
                <w:sz w:val="24"/>
              </w:rPr>
              <w:t>的得3分；</w:t>
            </w:r>
          </w:p>
          <w:p>
            <w:pPr>
              <w:spacing w:line="276" w:lineRule="auto"/>
              <w:jc w:val="left"/>
              <w:rPr>
                <w:rFonts w:hint="eastAsia" w:ascii="宋体" w:hAnsi="宋体" w:cs="宋体"/>
                <w:bCs/>
                <w:sz w:val="24"/>
              </w:rPr>
            </w:pPr>
            <w:r>
              <w:rPr>
                <w:rFonts w:hint="eastAsia" w:ascii="宋体" w:hAnsi="宋体" w:cs="宋体"/>
                <w:bCs/>
                <w:sz w:val="24"/>
              </w:rPr>
              <w:t>（</w:t>
            </w:r>
            <w:r>
              <w:rPr>
                <w:rFonts w:hint="eastAsia" w:ascii="宋体" w:hAnsi="宋体" w:cs="宋体"/>
                <w:bCs/>
                <w:sz w:val="24"/>
                <w:lang w:val="en-US" w:eastAsia="zh-CN"/>
              </w:rPr>
              <w:t>3</w:t>
            </w:r>
            <w:r>
              <w:rPr>
                <w:rFonts w:hint="eastAsia" w:ascii="宋体" w:hAnsi="宋体" w:cs="宋体"/>
                <w:bCs/>
                <w:sz w:val="24"/>
              </w:rPr>
              <w:t>）未提供</w:t>
            </w:r>
            <w:r>
              <w:rPr>
                <w:rFonts w:hint="eastAsia" w:ascii="宋体" w:hAnsi="宋体" w:cs="宋体"/>
                <w:bCs/>
                <w:sz w:val="24"/>
                <w:lang w:eastAsia="zh-CN"/>
              </w:rPr>
              <w:t>人员证书</w:t>
            </w:r>
            <w:r>
              <w:rPr>
                <w:rFonts w:hint="eastAsia" w:ascii="宋体" w:hAnsi="宋体" w:cs="宋体"/>
                <w:bCs/>
                <w:sz w:val="24"/>
              </w:rPr>
              <w:t>得0分。</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5</w:t>
            </w:r>
          </w:p>
        </w:tc>
        <w:tc>
          <w:tcPr>
            <w:tcW w:w="1134"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shd w:val="clear" w:color="auto" w:fill="auto"/>
              </w:rPr>
              <w:t>客观分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38" w:hRule="atLeast"/>
          <w:jc w:val="center"/>
        </w:trPr>
        <w:tc>
          <w:tcPr>
            <w:tcW w:w="1256" w:type="dxa"/>
            <w:vMerge w:val="continue"/>
            <w:tcBorders>
              <w:left w:val="single" w:color="000000" w:sz="4" w:space="0"/>
              <w:right w:val="single" w:color="000000" w:sz="4" w:space="0"/>
            </w:tcBorders>
            <w:vAlign w:val="center"/>
          </w:tcPr>
          <w:p>
            <w:pPr>
              <w:spacing w:line="276" w:lineRule="auto"/>
              <w:jc w:val="center"/>
              <w:rPr>
                <w:rFonts w:hint="eastAsia" w:ascii="宋体" w:hAnsi="宋体" w:cs="宋体"/>
                <w:color w:val="000000"/>
                <w:sz w:val="24"/>
              </w:rPr>
            </w:pPr>
          </w:p>
        </w:tc>
        <w:tc>
          <w:tcPr>
            <w:tcW w:w="1384" w:type="dxa"/>
            <w:tcBorders>
              <w:top w:val="single" w:color="auto" w:sz="4" w:space="0"/>
              <w:left w:val="single" w:color="000000" w:sz="4" w:space="0"/>
              <w:bottom w:val="single" w:color="000000" w:sz="4" w:space="0"/>
              <w:right w:val="single" w:color="000000" w:sz="4" w:space="0"/>
            </w:tcBorders>
            <w:vAlign w:val="center"/>
          </w:tcPr>
          <w:p>
            <w:pPr>
              <w:spacing w:line="276" w:lineRule="auto"/>
              <w:jc w:val="center"/>
              <w:rPr>
                <w:rFonts w:hint="eastAsia" w:ascii="宋体" w:hAnsi="宋体" w:cs="宋体" w:eastAsiaTheme="minorEastAsia"/>
                <w:bCs/>
                <w:sz w:val="24"/>
                <w:lang w:eastAsia="zh-CN"/>
              </w:rPr>
            </w:pPr>
            <w:r>
              <w:rPr>
                <w:rFonts w:hint="eastAsia" w:ascii="宋体" w:hAnsi="宋体" w:cs="宋体"/>
                <w:bCs/>
                <w:sz w:val="24"/>
                <w:lang w:eastAsia="zh-CN"/>
              </w:rPr>
              <w:t>人员配置情况</w:t>
            </w:r>
          </w:p>
        </w:tc>
        <w:tc>
          <w:tcPr>
            <w:tcW w:w="48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left"/>
              <w:rPr>
                <w:rFonts w:hint="eastAsia" w:ascii="宋体" w:hAnsi="宋体" w:cs="宋体"/>
                <w:bCs/>
                <w:sz w:val="24"/>
              </w:rPr>
            </w:pPr>
            <w:r>
              <w:rPr>
                <w:rFonts w:hint="eastAsia" w:ascii="宋体" w:hAnsi="宋体" w:cs="宋体"/>
                <w:bCs/>
                <w:sz w:val="24"/>
              </w:rPr>
              <w:t>团队</w:t>
            </w:r>
            <w:r>
              <w:rPr>
                <w:rFonts w:hint="eastAsia" w:ascii="宋体" w:hAnsi="宋体" w:cs="宋体"/>
                <w:bCs/>
                <w:sz w:val="24"/>
                <w:lang w:eastAsia="zh-CN"/>
              </w:rPr>
              <w:t>须配置：</w:t>
            </w:r>
            <w:r>
              <w:rPr>
                <w:rFonts w:hint="eastAsia" w:ascii="宋体" w:hAnsi="宋体" w:cs="宋体"/>
                <w:bCs/>
                <w:sz w:val="24"/>
              </w:rPr>
              <w:t>项目经理 1 名、技术总工 1 名、系统开发工程师 3 名、测试工程师 1 名：</w:t>
            </w:r>
          </w:p>
          <w:p>
            <w:pPr>
              <w:spacing w:line="276" w:lineRule="auto"/>
              <w:jc w:val="left"/>
              <w:rPr>
                <w:rFonts w:hint="eastAsia" w:ascii="宋体" w:hAnsi="宋体" w:cs="宋体"/>
                <w:bCs/>
                <w:sz w:val="24"/>
              </w:rPr>
            </w:pPr>
            <w:r>
              <w:rPr>
                <w:rFonts w:hint="eastAsia" w:ascii="宋体" w:hAnsi="宋体" w:cs="宋体"/>
                <w:bCs/>
                <w:sz w:val="24"/>
              </w:rPr>
              <w:t>（1）团队人员</w:t>
            </w:r>
            <w:r>
              <w:rPr>
                <w:rFonts w:hint="eastAsia" w:ascii="宋体" w:hAnsi="宋体" w:cs="宋体"/>
                <w:bCs/>
                <w:sz w:val="24"/>
                <w:lang w:eastAsia="zh-CN"/>
              </w:rPr>
              <w:t>配置完善</w:t>
            </w:r>
            <w:r>
              <w:rPr>
                <w:rFonts w:hint="eastAsia" w:ascii="宋体" w:hAnsi="宋体" w:cs="宋体"/>
                <w:bCs/>
                <w:sz w:val="24"/>
              </w:rPr>
              <w:t>，分工明确，配置齐全得5分；</w:t>
            </w:r>
          </w:p>
          <w:p>
            <w:pPr>
              <w:spacing w:line="276" w:lineRule="auto"/>
              <w:jc w:val="left"/>
              <w:rPr>
                <w:rFonts w:hint="eastAsia" w:ascii="宋体" w:hAnsi="宋体" w:cs="宋体"/>
                <w:bCs/>
                <w:sz w:val="24"/>
              </w:rPr>
            </w:pPr>
            <w:r>
              <w:rPr>
                <w:rFonts w:hint="eastAsia" w:ascii="宋体" w:hAnsi="宋体" w:cs="宋体"/>
                <w:bCs/>
                <w:sz w:val="24"/>
              </w:rPr>
              <w:t>（2）</w:t>
            </w:r>
            <w:r>
              <w:rPr>
                <w:rFonts w:hint="eastAsia" w:ascii="宋体" w:hAnsi="宋体" w:cs="宋体"/>
                <w:bCs/>
                <w:sz w:val="24"/>
                <w:lang w:eastAsia="zh-CN"/>
              </w:rPr>
              <w:t>团队人员配置</w:t>
            </w:r>
            <w:r>
              <w:rPr>
                <w:rFonts w:hint="eastAsia" w:ascii="宋体" w:hAnsi="宋体" w:cs="宋体"/>
                <w:bCs/>
                <w:sz w:val="24"/>
              </w:rPr>
              <w:t>基本完整、权责基本分明，专业配置较少，得</w:t>
            </w:r>
            <w:r>
              <w:rPr>
                <w:rFonts w:hint="eastAsia" w:ascii="宋体" w:hAnsi="宋体" w:cs="宋体"/>
                <w:bCs/>
                <w:sz w:val="24"/>
                <w:lang w:val="en-US" w:eastAsia="zh-CN"/>
              </w:rPr>
              <w:t>1-4</w:t>
            </w:r>
            <w:r>
              <w:rPr>
                <w:rFonts w:hint="eastAsia" w:ascii="宋体" w:hAnsi="宋体" w:cs="宋体"/>
                <w:bCs/>
                <w:sz w:val="24"/>
              </w:rPr>
              <w:t>分；</w:t>
            </w:r>
          </w:p>
          <w:p>
            <w:pPr>
              <w:spacing w:line="276" w:lineRule="auto"/>
              <w:jc w:val="left"/>
              <w:rPr>
                <w:rFonts w:hint="eastAsia" w:ascii="宋体" w:hAnsi="宋体" w:cs="宋体"/>
                <w:bCs/>
                <w:sz w:val="24"/>
              </w:rPr>
            </w:pPr>
            <w:r>
              <w:rPr>
                <w:rFonts w:hint="eastAsia" w:ascii="宋体" w:hAnsi="宋体" w:cs="宋体"/>
                <w:bCs/>
                <w:sz w:val="24"/>
              </w:rPr>
              <w:t>（</w:t>
            </w:r>
            <w:r>
              <w:rPr>
                <w:rFonts w:hint="eastAsia" w:ascii="宋体" w:hAnsi="宋体" w:cs="宋体"/>
                <w:bCs/>
                <w:sz w:val="24"/>
                <w:lang w:val="en-US" w:eastAsia="zh-CN"/>
              </w:rPr>
              <w:t>3</w:t>
            </w:r>
            <w:r>
              <w:rPr>
                <w:rFonts w:hint="eastAsia" w:ascii="宋体" w:hAnsi="宋体" w:cs="宋体"/>
                <w:bCs/>
                <w:sz w:val="24"/>
              </w:rPr>
              <w:t>）未提供相关内容，得0分。</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rPr>
              <w:t>5</w:t>
            </w:r>
          </w:p>
        </w:tc>
        <w:tc>
          <w:tcPr>
            <w:tcW w:w="1134" w:type="dxa"/>
            <w:tcBorders>
              <w:top w:val="single" w:color="000000" w:sz="4" w:space="0"/>
              <w:left w:val="single" w:color="000000" w:sz="4" w:space="0"/>
              <w:bottom w:val="single" w:color="000000" w:sz="4" w:space="0"/>
              <w:right w:val="single" w:color="000000" w:sz="4" w:space="0"/>
            </w:tcBorders>
            <w:vAlign w:val="center"/>
          </w:tcPr>
          <w:p>
            <w:pPr>
              <w:widowControl/>
              <w:spacing w:line="276" w:lineRule="auto"/>
              <w:jc w:val="center"/>
              <w:rPr>
                <w:rFonts w:hint="eastAsia" w:ascii="宋体" w:hAnsi="宋体" w:cs="宋体"/>
                <w:color w:val="000000"/>
                <w:sz w:val="24"/>
              </w:rPr>
            </w:pPr>
            <w:r>
              <w:rPr>
                <w:rFonts w:hint="eastAsia" w:ascii="宋体" w:hAnsi="宋体" w:cs="宋体"/>
                <w:color w:val="000000"/>
                <w:sz w:val="24"/>
                <w:lang w:eastAsia="zh-CN"/>
              </w:rPr>
              <w:t>主</w:t>
            </w:r>
            <w:r>
              <w:rPr>
                <w:rFonts w:hint="eastAsia" w:ascii="宋体" w:hAnsi="宋体" w:cs="宋体"/>
                <w:color w:val="000000"/>
                <w:sz w:val="24"/>
              </w:rPr>
              <w:t>观分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9" w:hRule="atLeast"/>
          <w:jc w:val="center"/>
        </w:trPr>
        <w:tc>
          <w:tcPr>
            <w:tcW w:w="8217"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88" w:lineRule="auto"/>
              <w:jc w:val="center"/>
              <w:rPr>
                <w:rFonts w:hint="eastAsia" w:ascii="宋体" w:hAnsi="宋体" w:cs="宋体"/>
                <w:color w:val="000000"/>
                <w:sz w:val="24"/>
              </w:rPr>
            </w:pPr>
            <w:r>
              <w:rPr>
                <w:rFonts w:hint="eastAsia" w:ascii="宋体" w:hAnsi="宋体" w:cs="宋体"/>
                <w:color w:val="000000"/>
                <w:sz w:val="24"/>
              </w:rPr>
              <w:t>计100分</w:t>
            </w:r>
          </w:p>
        </w:tc>
        <w:tc>
          <w:tcPr>
            <w:tcW w:w="1134" w:type="dxa"/>
            <w:tcBorders>
              <w:top w:val="single" w:color="000000" w:sz="4" w:space="0"/>
              <w:left w:val="single" w:color="000000" w:sz="4" w:space="0"/>
              <w:bottom w:val="single" w:color="000000" w:sz="4" w:space="0"/>
              <w:right w:val="single" w:color="000000" w:sz="4" w:space="0"/>
            </w:tcBorders>
            <w:vAlign w:val="center"/>
          </w:tcPr>
          <w:p>
            <w:pPr>
              <w:widowControl/>
              <w:spacing w:line="288" w:lineRule="auto"/>
              <w:jc w:val="center"/>
              <w:rPr>
                <w:rFonts w:hint="eastAsia" w:ascii="宋体" w:hAnsi="宋体" w:cs="宋体"/>
                <w:color w:val="000000"/>
                <w:sz w:val="24"/>
              </w:rPr>
            </w:pPr>
          </w:p>
        </w:tc>
      </w:tr>
    </w:tbl>
    <w:p>
      <w:pPr>
        <w:spacing w:line="560" w:lineRule="exact"/>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FB44F4"/>
    <w:multiLevelType w:val="singleLevel"/>
    <w:tmpl w:val="2CFB44F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3F2422"/>
    <w:rsid w:val="001A6EE6"/>
    <w:rsid w:val="00223A51"/>
    <w:rsid w:val="002C1FEE"/>
    <w:rsid w:val="00464A48"/>
    <w:rsid w:val="00526111"/>
    <w:rsid w:val="006778CE"/>
    <w:rsid w:val="006C1DAD"/>
    <w:rsid w:val="007D3C47"/>
    <w:rsid w:val="00925054"/>
    <w:rsid w:val="00A848D8"/>
    <w:rsid w:val="00B303FA"/>
    <w:rsid w:val="00BA1CA5"/>
    <w:rsid w:val="00BA560D"/>
    <w:rsid w:val="00DC01D4"/>
    <w:rsid w:val="00E34EF0"/>
    <w:rsid w:val="00EB6E4C"/>
    <w:rsid w:val="02CA39F2"/>
    <w:rsid w:val="032B269D"/>
    <w:rsid w:val="07F37FB1"/>
    <w:rsid w:val="0A27098F"/>
    <w:rsid w:val="0A6328A1"/>
    <w:rsid w:val="0F6D7569"/>
    <w:rsid w:val="10EC66A3"/>
    <w:rsid w:val="124E5CE0"/>
    <w:rsid w:val="13B02268"/>
    <w:rsid w:val="13F532E6"/>
    <w:rsid w:val="185270BB"/>
    <w:rsid w:val="1F773F6E"/>
    <w:rsid w:val="201C4DE2"/>
    <w:rsid w:val="203A1B47"/>
    <w:rsid w:val="24796BDC"/>
    <w:rsid w:val="27931DFE"/>
    <w:rsid w:val="2D091A08"/>
    <w:rsid w:val="2F2B7E9C"/>
    <w:rsid w:val="303C43AB"/>
    <w:rsid w:val="31EF5A75"/>
    <w:rsid w:val="3361469C"/>
    <w:rsid w:val="338C1EF9"/>
    <w:rsid w:val="36BA40D7"/>
    <w:rsid w:val="37690ECC"/>
    <w:rsid w:val="3A137408"/>
    <w:rsid w:val="3B3F2422"/>
    <w:rsid w:val="3BFF88AE"/>
    <w:rsid w:val="3C901A88"/>
    <w:rsid w:val="3CD411E1"/>
    <w:rsid w:val="3CF869EC"/>
    <w:rsid w:val="3E0F140A"/>
    <w:rsid w:val="3F752413"/>
    <w:rsid w:val="41FB5C34"/>
    <w:rsid w:val="459E215E"/>
    <w:rsid w:val="492A2370"/>
    <w:rsid w:val="50945125"/>
    <w:rsid w:val="53DD0536"/>
    <w:rsid w:val="54AA4406"/>
    <w:rsid w:val="5C884300"/>
    <w:rsid w:val="5EE2621A"/>
    <w:rsid w:val="5F1360E6"/>
    <w:rsid w:val="5F8E2424"/>
    <w:rsid w:val="60215CC5"/>
    <w:rsid w:val="67CF1459"/>
    <w:rsid w:val="682B1A25"/>
    <w:rsid w:val="693B6710"/>
    <w:rsid w:val="69564C7C"/>
    <w:rsid w:val="6E63543D"/>
    <w:rsid w:val="6FA05F10"/>
    <w:rsid w:val="72231C3E"/>
    <w:rsid w:val="74AE0667"/>
    <w:rsid w:val="75E07081"/>
    <w:rsid w:val="79F02C0D"/>
    <w:rsid w:val="7AFE5136"/>
    <w:rsid w:val="7B3C02B9"/>
    <w:rsid w:val="7C9837B2"/>
    <w:rsid w:val="7DE45EDA"/>
    <w:rsid w:val="7DFB0341"/>
    <w:rsid w:val="7E71099D"/>
    <w:rsid w:val="7EC63FEC"/>
    <w:rsid w:val="7F4048CA"/>
    <w:rsid w:val="7F79AC3B"/>
    <w:rsid w:val="7F7E1693"/>
    <w:rsid w:val="7F9E3EA1"/>
    <w:rsid w:val="7FFF0BA7"/>
    <w:rsid w:val="9AF75B25"/>
    <w:rsid w:val="ABFF2AD3"/>
    <w:rsid w:val="CEFCAAF1"/>
    <w:rsid w:val="EF7FD5CA"/>
    <w:rsid w:val="F7BF2B9E"/>
    <w:rsid w:val="FA6ED0D3"/>
    <w:rsid w:val="FDFE01B0"/>
    <w:rsid w:val="FF3F5E64"/>
    <w:rsid w:val="FFF92FD6"/>
    <w:rsid w:val="FFFB42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lock Text"/>
    <w:basedOn w:val="1"/>
    <w:qFormat/>
    <w:uiPriority w:val="99"/>
    <w:pPr>
      <w:spacing w:line="460" w:lineRule="exact"/>
      <w:ind w:left="-171" w:leftChars="-171" w:right="-159" w:rightChars="-159" w:firstLine="450"/>
    </w:pPr>
    <w:rPr>
      <w:rFonts w:ascii="仿宋_GB2312" w:hAnsi="仿宋_GB2312" w:cs="仿宋_GB2312"/>
      <w:sz w:val="30"/>
      <w:szCs w:val="30"/>
    </w:rPr>
  </w:style>
  <w:style w:type="paragraph" w:styleId="3">
    <w:name w:val="Body Text"/>
    <w:basedOn w:val="1"/>
    <w:next w:val="1"/>
    <w:qFormat/>
    <w:uiPriority w:val="1"/>
    <w:rPr>
      <w:sz w:val="32"/>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character" w:styleId="8">
    <w:name w:val="Strong"/>
    <w:basedOn w:val="7"/>
    <w:qFormat/>
    <w:uiPriority w:val="0"/>
    <w:rPr>
      <w:b/>
    </w:rPr>
  </w:style>
  <w:style w:type="paragraph" w:styleId="9">
    <w:name w:val="List Paragraph"/>
    <w:basedOn w:val="1"/>
    <w:qFormat/>
    <w:uiPriority w:val="1"/>
    <w:pPr>
      <w:ind w:firstLine="420" w:firstLineChars="200"/>
    </w:pPr>
  </w:style>
  <w:style w:type="table" w:customStyle="1" w:styleId="10">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Layout w:type="fixed"/>
      <w:tblCellMar>
        <w:top w:w="0" w:type="dxa"/>
        <w:left w:w="0" w:type="dxa"/>
        <w:bottom w:w="0" w:type="dxa"/>
        <w:right w:w="0" w:type="dxa"/>
      </w:tblCellMar>
    </w:tblPr>
  </w:style>
  <w:style w:type="paragraph" w:customStyle="1" w:styleId="11">
    <w:name w:val="Table Paragraph"/>
    <w:basedOn w:val="1"/>
    <w:qFormat/>
    <w:uiPriority w:val="1"/>
    <w:pPr>
      <w:autoSpaceDE w:val="0"/>
      <w:autoSpaceDN w:val="0"/>
      <w:spacing w:after="0" w:line="240" w:lineRule="auto"/>
      <w:jc w:val="left"/>
    </w:pPr>
    <w:rPr>
      <w:rFonts w:ascii="华文仿宋" w:hAnsi="华文仿宋" w:eastAsia="华文仿宋" w:cs="华文仿宋"/>
      <w:kern w:val="0"/>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6580</Words>
  <Characters>2242</Characters>
  <Lines>18</Lines>
  <Paragraphs>17</Paragraphs>
  <TotalTime>14</TotalTime>
  <ScaleCrop>false</ScaleCrop>
  <LinksUpToDate>false</LinksUpToDate>
  <CharactersWithSpaces>8805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2026-10-10T06:26:00Z</dcterms:created>
  <dc:creator>Administrator</dc:creator>
  <cp:lastModifiedBy>lenovo</cp:lastModifiedBy>
  <cp:lastPrinted>2026-10-14T12:12:00Z</cp:lastPrinted>
  <dcterms:modified xsi:type="dcterms:W3CDTF">2026-10-15T01:32:02Z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FDF9AD6E85D652402B33AF6A3D0D6C4F_42</vt:lpwstr>
  </property>
</Properties>
</file>