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7479030"/>
            <wp:effectExtent l="0" t="0" r="9525" b="3810"/>
            <wp:docPr id="1" name="图片 1" descr="西城区财政局许可国海金地代理记账批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西城区财政局许可国海金地代理记账批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557135"/>
            <wp:effectExtent l="0" t="0" r="10160" b="1905"/>
            <wp:docPr id="2" name="图片 2" descr="公文通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公文通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5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6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2026-10-21T06:50:28Z</dcterms:created>
  <dc:creator>tangmeng</dc:creator>
  <cp:lastModifiedBy>唐萌</cp:lastModifiedBy>
  <dcterms:modified xsi:type="dcterms:W3CDTF">2026-10-21T06:52:56Z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259A851964A946279286B02A7CBE25C9</vt:lpwstr>
  </property>
</Properties>
</file>